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92B54" w14:textId="53CE4345" w:rsidR="002411CF" w:rsidRDefault="00EB50CC" w:rsidP="008E7A5B">
      <w:pPr>
        <w:jc w:val="center"/>
        <w:rPr>
          <w:rFonts w:eastAsia="Avenir Next LT Pro" w:cs="Arial"/>
          <w:b/>
          <w:bCs/>
          <w:sz w:val="32"/>
          <w:szCs w:val="32"/>
        </w:rPr>
      </w:pPr>
      <w:r w:rsidRPr="60A8CDA9">
        <w:rPr>
          <w:rFonts w:eastAsia="Avenir Next LT Pro" w:cs="Arial"/>
          <w:b/>
          <w:bCs/>
          <w:sz w:val="32"/>
          <w:szCs w:val="32"/>
        </w:rPr>
        <w:t xml:space="preserve">FICHA RETO – Reto de Ciudad </w:t>
      </w:r>
      <w:r w:rsidR="004A549D">
        <w:rPr>
          <w:rFonts w:eastAsia="Avenir Next LT Pro" w:cs="Arial"/>
          <w:b/>
          <w:bCs/>
          <w:sz w:val="32"/>
          <w:szCs w:val="32"/>
        </w:rPr>
        <w:t>3</w:t>
      </w:r>
      <w:r w:rsidR="000B6874" w:rsidRPr="60A8CDA9">
        <w:rPr>
          <w:rFonts w:eastAsia="Avenir Next LT Pro" w:cs="Arial"/>
          <w:b/>
          <w:bCs/>
          <w:sz w:val="32"/>
          <w:szCs w:val="32"/>
        </w:rPr>
        <w:t xml:space="preserve">: </w:t>
      </w:r>
      <w:r w:rsidR="004A549D">
        <w:rPr>
          <w:rFonts w:eastAsia="Avenir Next LT Pro" w:cs="Arial"/>
          <w:b/>
          <w:bCs/>
          <w:sz w:val="32"/>
          <w:szCs w:val="32"/>
        </w:rPr>
        <w:t>Ciudad Aeroportuaria</w:t>
      </w:r>
    </w:p>
    <w:p w14:paraId="678C73A0" w14:textId="77777777" w:rsidR="004D21A3" w:rsidRDefault="004D21A3" w:rsidP="009D3623">
      <w:pPr>
        <w:rPr>
          <w:rFonts w:eastAsia="Avenir Next LT Pro" w:cs="Arial"/>
          <w:b/>
          <w:bCs/>
          <w:sz w:val="32"/>
          <w:szCs w:val="32"/>
        </w:rPr>
      </w:pPr>
    </w:p>
    <w:tbl>
      <w:tblPr>
        <w:tblStyle w:val="Tablaconcuadrcula"/>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58"/>
        <w:gridCol w:w="8830"/>
      </w:tblGrid>
      <w:tr w:rsidR="004D21A3" w:rsidRPr="003905D6" w14:paraId="6B0902BD" w14:textId="77777777" w:rsidTr="06B178D8">
        <w:tc>
          <w:tcPr>
            <w:tcW w:w="1018" w:type="pct"/>
          </w:tcPr>
          <w:p w14:paraId="23D5B58C" w14:textId="77777777" w:rsidR="004D21A3" w:rsidRPr="003905D6" w:rsidRDefault="004D21A3" w:rsidP="00CB73CC">
            <w:pPr>
              <w:rPr>
                <w:rFonts w:eastAsia="Avenir Next LT Pro" w:cs="Arial"/>
                <w:b/>
                <w:bCs/>
                <w:sz w:val="58"/>
                <w:szCs w:val="58"/>
              </w:rPr>
            </w:pPr>
            <w:r w:rsidRPr="003905D6">
              <w:rPr>
                <w:rFonts w:eastAsia="Avenir Next LT Pro" w:cs="Arial"/>
                <w:b/>
                <w:bCs/>
                <w:sz w:val="58"/>
                <w:szCs w:val="58"/>
              </w:rPr>
              <w:t>RETO</w:t>
            </w:r>
          </w:p>
        </w:tc>
        <w:tc>
          <w:tcPr>
            <w:tcW w:w="3982" w:type="pct"/>
          </w:tcPr>
          <w:p w14:paraId="58A27255" w14:textId="2EF8A378" w:rsidR="00B676DC" w:rsidRPr="00B676DC" w:rsidRDefault="00B676DC" w:rsidP="00CB73CC">
            <w:pPr>
              <w:jc w:val="both"/>
              <w:rPr>
                <w:rFonts w:eastAsia="Avenir Next LT Pro" w:cs="Arial"/>
              </w:rPr>
            </w:pPr>
            <w:r w:rsidRPr="00B676DC">
              <w:rPr>
                <w:rFonts w:eastAsia="Avenir Next LT Pro" w:cs="Arial"/>
              </w:rPr>
              <w:t>¿Cómo facilitar el proceso de reconversión asociativa de usos en la Zona de Influencia Directa Aeroportuaria (ZIDA), precisando las condiciones que permitan la vinculación de moradores (propietarios) y empresarios en la transformación del entorno aeroportuario?</w:t>
            </w:r>
          </w:p>
        </w:tc>
      </w:tr>
      <w:tr w:rsidR="004D21A3" w:rsidRPr="003905D6" w14:paraId="06A1548B" w14:textId="77777777" w:rsidTr="06B178D8">
        <w:tc>
          <w:tcPr>
            <w:tcW w:w="1018" w:type="pct"/>
          </w:tcPr>
          <w:p w14:paraId="1AC657C2" w14:textId="77777777" w:rsidR="009C2744" w:rsidRDefault="004D21A3" w:rsidP="00CB73CC">
            <w:pPr>
              <w:tabs>
                <w:tab w:val="left" w:pos="1976"/>
              </w:tabs>
              <w:rPr>
                <w:rFonts w:eastAsia="Avenir Next LT Pro" w:cs="Arial"/>
                <w:b/>
                <w:bCs/>
                <w:sz w:val="32"/>
                <w:szCs w:val="32"/>
              </w:rPr>
            </w:pPr>
            <w:r w:rsidRPr="00945077">
              <w:rPr>
                <w:rFonts w:eastAsia="Avenir Next LT Pro" w:cs="Arial"/>
                <w:b/>
                <w:bCs/>
                <w:sz w:val="32"/>
                <w:szCs w:val="32"/>
              </w:rPr>
              <w:t>Objetivo</w:t>
            </w:r>
          </w:p>
          <w:p w14:paraId="53BB0106" w14:textId="4FCB6748" w:rsidR="004D21A3" w:rsidRPr="009C2744" w:rsidRDefault="009C2744" w:rsidP="00CB73CC">
            <w:pPr>
              <w:tabs>
                <w:tab w:val="left" w:pos="1976"/>
              </w:tabs>
              <w:rPr>
                <w:rFonts w:eastAsia="Avenir Next LT Pro" w:cs="Arial"/>
                <w:sz w:val="18"/>
                <w:szCs w:val="18"/>
              </w:rPr>
            </w:pPr>
            <w:r w:rsidRPr="06B178D8">
              <w:rPr>
                <w:rFonts w:cs="Arial"/>
                <w:color w:val="747474" w:themeColor="background2" w:themeShade="80"/>
                <w:sz w:val="18"/>
                <w:szCs w:val="18"/>
              </w:rPr>
              <w:t>¿Cuál es el objetivo estratégico para este reto?</w:t>
            </w:r>
            <w:r w:rsidR="00945077" w:rsidRPr="06B178D8">
              <w:rPr>
                <w:rFonts w:cs="Arial"/>
                <w:color w:val="747474" w:themeColor="background2" w:themeShade="80"/>
                <w:sz w:val="18"/>
                <w:szCs w:val="18"/>
              </w:rPr>
              <w:t xml:space="preserve"> ¿Qué se espera lograr con el reto?</w:t>
            </w:r>
          </w:p>
        </w:tc>
        <w:tc>
          <w:tcPr>
            <w:tcW w:w="3982" w:type="pct"/>
          </w:tcPr>
          <w:p w14:paraId="3356AFCD" w14:textId="77777777" w:rsidR="00FA50BA" w:rsidRPr="00740204" w:rsidRDefault="00FA50BA" w:rsidP="00FA50BA">
            <w:pPr>
              <w:jc w:val="both"/>
              <w:rPr>
                <w:rFonts w:eastAsia="Avenir Next LT Pro" w:cs="Arial"/>
              </w:rPr>
            </w:pPr>
            <w:r w:rsidRPr="00740204">
              <w:rPr>
                <w:rFonts w:eastAsia="Avenir Next LT Pro" w:cs="Arial"/>
              </w:rPr>
              <w:t xml:space="preserve">Diseñar y poner en marcha una solución innovadora que habilite y promueva la participación de los moradores (propietarios) y de los empresarios en los procesos de reconversión productiva de usos de suelo en la </w:t>
            </w:r>
            <w:commentRangeStart w:id="0"/>
            <w:r w:rsidRPr="00740204">
              <w:rPr>
                <w:rFonts w:eastAsia="Avenir Next LT Pro" w:cs="Arial"/>
              </w:rPr>
              <w:t>Zona de Influencia Directa Aeroportuaria (ZIDA), propendiendo por beneficios compartidos.</w:t>
            </w:r>
            <w:commentRangeEnd w:id="0"/>
            <w:r w:rsidRPr="00740204">
              <w:rPr>
                <w:rStyle w:val="Refdecomentario"/>
                <w:rFonts w:eastAsia="Avenir Next LT Pro" w:cs="Arial"/>
                <w:sz w:val="22"/>
                <w:szCs w:val="22"/>
              </w:rPr>
              <w:commentReference w:id="0"/>
            </w:r>
          </w:p>
          <w:p w14:paraId="0450115A" w14:textId="77777777" w:rsidR="00861CB1" w:rsidRDefault="00861CB1" w:rsidP="00CB73CC">
            <w:pPr>
              <w:jc w:val="both"/>
              <w:rPr>
                <w:rFonts w:eastAsia="Avenir Next LT Pro" w:cs="Arial"/>
              </w:rPr>
            </w:pPr>
          </w:p>
          <w:p w14:paraId="48232077" w14:textId="1DCD44AB" w:rsidR="00861CB1" w:rsidRPr="003905D6" w:rsidRDefault="00740204" w:rsidP="00CB73CC">
            <w:pPr>
              <w:jc w:val="both"/>
              <w:rPr>
                <w:rFonts w:eastAsia="Avenir Next LT Pro" w:cs="Arial"/>
              </w:rPr>
            </w:pPr>
            <w:r w:rsidRPr="00740204">
              <w:rPr>
                <w:rFonts w:eastAsia="Avenir Next LT Pro" w:cs="Arial"/>
              </w:rPr>
              <w:t>La solución incorporará una herramienta de captura y gestión de información, capaz de alimentar de manera continua una estrategia de reconversión. Con ello, se facilitará la identificación de oportunidades estratégicas para la asociación, impulsando iniciativas alineadas con las potencialidades del territorio y las normativas vigentes. Asimismo, la herramienta debe permitir el desarrollo de una estrategia con diversas tipologías y formas de asociación, sustentadas en criterios técnicos, legales y financieros, que orienten la toma de decisiones y la implementación de proyectos de reconversión.</w:t>
            </w:r>
          </w:p>
        </w:tc>
      </w:tr>
      <w:tr w:rsidR="004D21A3" w:rsidRPr="003905D6" w14:paraId="5BF91685" w14:textId="77777777" w:rsidTr="06B178D8">
        <w:tc>
          <w:tcPr>
            <w:tcW w:w="1018" w:type="pct"/>
          </w:tcPr>
          <w:p w14:paraId="48716687" w14:textId="77777777" w:rsidR="002A4004" w:rsidRDefault="004D21A3" w:rsidP="00CB73CC">
            <w:pPr>
              <w:rPr>
                <w:rFonts w:eastAsia="Avenir Next LT Pro" w:cs="Arial"/>
                <w:b/>
                <w:bCs/>
                <w:sz w:val="24"/>
                <w:szCs w:val="24"/>
              </w:rPr>
            </w:pPr>
            <w:r w:rsidRPr="002A4004">
              <w:rPr>
                <w:rFonts w:eastAsia="Avenir Next LT Pro" w:cs="Arial"/>
                <w:b/>
                <w:bCs/>
                <w:sz w:val="24"/>
                <w:szCs w:val="24"/>
              </w:rPr>
              <w:t xml:space="preserve">Entidad Retadora </w:t>
            </w:r>
          </w:p>
          <w:p w14:paraId="76350DC4" w14:textId="129064A2" w:rsidR="004D21A3" w:rsidRPr="003905D6" w:rsidRDefault="004D21A3" w:rsidP="00CB73CC">
            <w:pPr>
              <w:rPr>
                <w:rFonts w:eastAsia="Avenir Next LT Pro" w:cs="Arial"/>
                <w:b/>
                <w:bCs/>
              </w:rPr>
            </w:pPr>
            <w:r w:rsidRPr="002A4004">
              <w:rPr>
                <w:rFonts w:eastAsia="Avenir Next LT Pro" w:cs="Arial"/>
                <w:b/>
                <w:bCs/>
                <w:sz w:val="24"/>
                <w:szCs w:val="24"/>
              </w:rPr>
              <w:t>y dependencias involucradas</w:t>
            </w:r>
          </w:p>
        </w:tc>
        <w:tc>
          <w:tcPr>
            <w:tcW w:w="3982" w:type="pct"/>
          </w:tcPr>
          <w:p w14:paraId="099C8E51" w14:textId="77777777" w:rsidR="00C07B30" w:rsidRPr="00C07B30" w:rsidRDefault="004D21A3" w:rsidP="00C07B30">
            <w:pPr>
              <w:pStyle w:val="Prrafodelista"/>
              <w:numPr>
                <w:ilvl w:val="0"/>
                <w:numId w:val="20"/>
              </w:numPr>
              <w:spacing w:line="240" w:lineRule="auto"/>
              <w:jc w:val="both"/>
              <w:rPr>
                <w:rFonts w:eastAsia="Avenir Next LT Pro" w:cs="Arial"/>
              </w:rPr>
            </w:pPr>
            <w:r w:rsidRPr="00C07B30">
              <w:rPr>
                <w:rFonts w:eastAsia="Avenir Next LT Pro" w:cs="Arial"/>
              </w:rPr>
              <w:t>Secretaría Distrital de Planeación</w:t>
            </w:r>
            <w:r w:rsidR="009C2744" w:rsidRPr="00C07B30">
              <w:rPr>
                <w:rFonts w:eastAsia="Avenir Next LT Pro" w:cs="Arial"/>
              </w:rPr>
              <w:t xml:space="preserve"> </w:t>
            </w:r>
            <w:r w:rsidR="009C2744" w:rsidRPr="00C07B30">
              <w:rPr>
                <w:rFonts w:eastAsia="Avenir Next LT Pro" w:cs="Arial"/>
                <w:b/>
                <w:bCs/>
              </w:rPr>
              <w:t>(SDP)</w:t>
            </w:r>
          </w:p>
          <w:p w14:paraId="351B0AD1" w14:textId="702AF2E6" w:rsidR="00C07B30" w:rsidRDefault="009C2744" w:rsidP="00C07B30">
            <w:pPr>
              <w:pStyle w:val="Prrafodelista"/>
              <w:spacing w:line="240" w:lineRule="auto"/>
              <w:ind w:left="360"/>
              <w:jc w:val="both"/>
              <w:rPr>
                <w:rFonts w:eastAsia="Avenir Next LT Pro" w:cs="Arial"/>
              </w:rPr>
            </w:pPr>
            <w:r w:rsidRPr="00C07B30">
              <w:rPr>
                <w:rFonts w:eastAsia="Avenir Next LT Pro" w:cs="Arial"/>
              </w:rPr>
              <w:t xml:space="preserve">Dependencias: </w:t>
            </w:r>
            <w:r w:rsidR="004D21A3" w:rsidRPr="00C07B30">
              <w:rPr>
                <w:rFonts w:eastAsia="Avenir Next LT Pro" w:cs="Arial"/>
              </w:rPr>
              <w:t>Subsecretaría de Planeación Territorial</w:t>
            </w:r>
            <w:r w:rsidR="002631DC" w:rsidRPr="00C07B30">
              <w:rPr>
                <w:rFonts w:eastAsia="Avenir Next LT Pro" w:cs="Arial"/>
              </w:rPr>
              <w:t xml:space="preserve">, </w:t>
            </w:r>
            <w:r w:rsidR="00C07B30" w:rsidRPr="00C07B30">
              <w:rPr>
                <w:rFonts w:eastAsia="Avenir Next LT Pro" w:cs="Arial"/>
              </w:rPr>
              <w:t>Dirección de Planeamiento Local</w:t>
            </w:r>
            <w:r w:rsidR="002631DC" w:rsidRPr="00C07B30">
              <w:rPr>
                <w:rFonts w:eastAsia="Avenir Next LT Pro" w:cs="Arial"/>
              </w:rPr>
              <w:t xml:space="preserve">, </w:t>
            </w:r>
            <w:r w:rsidR="00C07B30" w:rsidRPr="00C07B30">
              <w:rPr>
                <w:rFonts w:eastAsia="Avenir Next LT Pro" w:cs="Arial"/>
              </w:rPr>
              <w:t>Subdirección de Planeamiento Local del Occidente.</w:t>
            </w:r>
          </w:p>
          <w:p w14:paraId="19CD82E6" w14:textId="77777777" w:rsidR="00C07B30" w:rsidRDefault="00C07B30" w:rsidP="00C07B30">
            <w:pPr>
              <w:pStyle w:val="Prrafodelista"/>
              <w:numPr>
                <w:ilvl w:val="0"/>
                <w:numId w:val="20"/>
              </w:numPr>
              <w:spacing w:line="240" w:lineRule="auto"/>
              <w:rPr>
                <w:rFonts w:eastAsia="Avenir Next LT Pro" w:cs="Arial"/>
              </w:rPr>
            </w:pPr>
            <w:r w:rsidRPr="00C07B30">
              <w:rPr>
                <w:rFonts w:eastAsia="Avenir Next LT Pro" w:cs="Arial"/>
              </w:rPr>
              <w:t>RenoBo</w:t>
            </w:r>
          </w:p>
          <w:p w14:paraId="48B82891" w14:textId="231E3141" w:rsidR="00C07B30" w:rsidRPr="00C07B30" w:rsidRDefault="00C07B30" w:rsidP="00C07B30">
            <w:pPr>
              <w:pStyle w:val="Prrafodelista"/>
              <w:spacing w:line="240" w:lineRule="auto"/>
              <w:ind w:left="360"/>
              <w:rPr>
                <w:rFonts w:eastAsia="Avenir Next LT Pro" w:cs="Arial"/>
              </w:rPr>
            </w:pPr>
            <w:r w:rsidRPr="00C07B30">
              <w:rPr>
                <w:rFonts w:eastAsia="Avenir Next LT Pro" w:cs="Arial"/>
              </w:rPr>
              <w:t>Subgerente de Planeación y Estructuración</w:t>
            </w:r>
            <w:r>
              <w:rPr>
                <w:rFonts w:eastAsia="Avenir Next LT Pro" w:cs="Arial"/>
              </w:rPr>
              <w:t xml:space="preserve">, </w:t>
            </w:r>
            <w:r w:rsidRPr="00C07B30">
              <w:rPr>
                <w:rFonts w:eastAsia="Avenir Next LT Pro" w:cs="Arial"/>
              </w:rPr>
              <w:t>Director de Planeamiento y Gestión Urbana</w:t>
            </w:r>
          </w:p>
        </w:tc>
      </w:tr>
    </w:tbl>
    <w:p w14:paraId="3A81E25C" w14:textId="77777777" w:rsidR="004D21A3" w:rsidRDefault="004D21A3" w:rsidP="00DF4158">
      <w:pPr>
        <w:rPr>
          <w:rFonts w:eastAsia="Avenir Next LT Pro" w:cs="Arial"/>
          <w:b/>
          <w:bCs/>
          <w:sz w:val="32"/>
          <w:szCs w:val="32"/>
        </w:rPr>
      </w:pPr>
    </w:p>
    <w:tbl>
      <w:tblPr>
        <w:tblStyle w:val="Tablaconcuadrcula"/>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429"/>
        <w:gridCol w:w="5659"/>
      </w:tblGrid>
      <w:tr w:rsidR="00DF4158" w:rsidRPr="005E16B3" w14:paraId="7E08DB85" w14:textId="77777777" w:rsidTr="23BD7645">
        <w:tc>
          <w:tcPr>
            <w:tcW w:w="0" w:type="auto"/>
            <w:gridSpan w:val="2"/>
          </w:tcPr>
          <w:p w14:paraId="3F625FD4" w14:textId="77777777" w:rsidR="00AB54DE" w:rsidRDefault="00DF4158" w:rsidP="00AB54DE">
            <w:pPr>
              <w:jc w:val="both"/>
              <w:rPr>
                <w:rFonts w:eastAsia="Avenir Next LT Pro" w:cs="Arial"/>
                <w:b/>
                <w:bCs/>
                <w:sz w:val="24"/>
                <w:szCs w:val="24"/>
              </w:rPr>
            </w:pPr>
            <w:r w:rsidRPr="002A4004">
              <w:rPr>
                <w:rFonts w:eastAsia="Avenir Next LT Pro" w:cs="Arial"/>
                <w:b/>
                <w:bCs/>
                <w:sz w:val="24"/>
                <w:szCs w:val="24"/>
              </w:rPr>
              <w:t>Descripción del problema</w:t>
            </w:r>
          </w:p>
          <w:p w14:paraId="45E10696" w14:textId="515B874C" w:rsidR="00AB54DE" w:rsidRPr="00FC3A96" w:rsidRDefault="00AB54DE" w:rsidP="00AB54DE">
            <w:pPr>
              <w:jc w:val="both"/>
              <w:rPr>
                <w:rFonts w:eastAsia="Avenir Next LT Pro" w:cs="Arial"/>
              </w:rPr>
            </w:pPr>
            <w:r w:rsidRPr="00AB54DE">
              <w:rPr>
                <w:rFonts w:eastAsia="Avenir Next LT Pro" w:cs="Arial"/>
              </w:rPr>
              <w:t xml:space="preserve">El entorno del Aeropuerto Internacional El Dorado (AIED), reconocido como uno de los principales nodos logísticos y de conectividad aérea en América Latina, ha coexistido históricamente con un proceso de desarrollo urbano desarticulado. A pesar de su carácter estratégico para Bogotá y la región, el entorno </w:t>
            </w:r>
            <w:r w:rsidRPr="00FC3A96">
              <w:rPr>
                <w:rFonts w:eastAsia="Avenir Next LT Pro" w:cs="Arial"/>
              </w:rPr>
              <w:t xml:space="preserve">inmediato del aeropuerto ha mantenido una vocación predominantemente residencial con presencia de actividades económicas vecinales o de proximidad, y que padece las externalidades ambientales negativas derivadas de la operación del aeropuerto, resultando en un bajo aprovechamiento por actividades que puedan asociarse al aeropuerto, como las logísticas, industriales o de comercio especializado. </w:t>
            </w:r>
          </w:p>
          <w:p w14:paraId="267ACF87" w14:textId="77777777" w:rsidR="00FC3A96" w:rsidRPr="00FC3A96" w:rsidRDefault="00FC3A96" w:rsidP="00FC3A96">
            <w:pPr>
              <w:spacing w:before="240" w:after="240"/>
              <w:jc w:val="both"/>
              <w:rPr>
                <w:rFonts w:eastAsia="Avenir Next LT Pro" w:cs="Avenir Next LT Pro"/>
              </w:rPr>
            </w:pPr>
            <w:r w:rsidRPr="00FC3A96">
              <w:rPr>
                <w:rFonts w:eastAsia="Avenir Next LT Pro" w:cs="Avenir Next LT Pro"/>
                <w:b/>
                <w:bCs/>
              </w:rPr>
              <w:t>Por esto se busca la reconversión del uso del suelo, para alcanzar la vocación deseada de la zona, sustituyendo progresivamente los usos residenciales actuales para consolidar un entorno especializado en actividades logísticas, industriales y de servicios avanzados</w:t>
            </w:r>
            <w:r w:rsidRPr="00FC3A96">
              <w:rPr>
                <w:rFonts w:eastAsia="Avenir Next LT Pro" w:cs="Avenir Next LT Pro"/>
              </w:rPr>
              <w:t>, que aproveche oportunidades de comercio especializado, y que potencie el valor económico del aeropuerto como pieza clave del modelo de ciudad y visión económica de largo plazo.</w:t>
            </w:r>
          </w:p>
          <w:p w14:paraId="50783A18" w14:textId="77777777" w:rsidR="00FC3A96" w:rsidRPr="00FC3A96" w:rsidRDefault="00FC3A96" w:rsidP="00FC3A96">
            <w:pPr>
              <w:spacing w:before="240" w:after="240"/>
              <w:jc w:val="both"/>
              <w:rPr>
                <w:rFonts w:eastAsia="Avenir Next LT Pro" w:cs="Avenir Next LT Pro"/>
              </w:rPr>
            </w:pPr>
            <w:r w:rsidRPr="00FC3A96">
              <w:rPr>
                <w:rFonts w:eastAsia="Avenir Next LT Pro" w:cs="Avenir Next LT Pro"/>
              </w:rPr>
              <w:t xml:space="preserve">A lo largo de los años, diversos instrumentos normativos e institucionales han intentado orientar la transformación de esta zona. Sin embargo, </w:t>
            </w:r>
            <w:r w:rsidRPr="00FC3A96">
              <w:rPr>
                <w:rFonts w:eastAsia="Avenir Next LT Pro" w:cs="Avenir Next LT Pro"/>
                <w:b/>
                <w:bCs/>
              </w:rPr>
              <w:t xml:space="preserve">las propuestas de </w:t>
            </w:r>
            <w:commentRangeStart w:id="1"/>
            <w:commentRangeStart w:id="2"/>
            <w:r w:rsidRPr="00FC3A96">
              <w:rPr>
                <w:rFonts w:eastAsia="Avenir Next LT Pro" w:cs="Avenir Next LT Pro"/>
                <w:b/>
                <w:bCs/>
              </w:rPr>
              <w:t xml:space="preserve">reconversión </w:t>
            </w:r>
            <w:commentRangeEnd w:id="1"/>
            <w:r w:rsidRPr="00FC3A96">
              <w:rPr>
                <w:rStyle w:val="Refdecomentario"/>
                <w:rFonts w:eastAsia="Avenir Next LT Pro" w:cs="Avenir Next LT Pro"/>
                <w:b/>
                <w:bCs/>
                <w:sz w:val="22"/>
                <w:szCs w:val="22"/>
              </w:rPr>
              <w:commentReference w:id="1"/>
            </w:r>
            <w:commentRangeEnd w:id="2"/>
            <w:r w:rsidR="00AA14DC" w:rsidRPr="00FC3A96">
              <w:rPr>
                <w:rStyle w:val="Refdecomentario"/>
                <w:rFonts w:eastAsia="Avenir Next LT Pro" w:cs="Avenir Next LT Pro"/>
                <w:b/>
                <w:bCs/>
                <w:sz w:val="22"/>
                <w:szCs w:val="22"/>
              </w:rPr>
              <w:commentReference w:id="2"/>
            </w:r>
            <w:r w:rsidRPr="00FC3A96">
              <w:rPr>
                <w:rFonts w:eastAsia="Avenir Next LT Pro" w:cs="Avenir Next LT Pro"/>
                <w:b/>
                <w:bCs/>
              </w:rPr>
              <w:t xml:space="preserve">urbana no han logrado consolidarse </w:t>
            </w:r>
            <w:r w:rsidRPr="00FC3A96">
              <w:rPr>
                <w:rFonts w:eastAsia="Avenir Next LT Pro" w:cs="Avenir Next LT Pro"/>
              </w:rPr>
              <w:t xml:space="preserve">debido a barreras sociales, normativas, financieras e institucionales. Intentos anteriores, como las disposiciones del Decreto Distrital 765 de 1999, el POT de 2004 (Decreto 190) y la Operación Estratégica del Distrito Aeroportuario (Decreto 824 de 2019) no lograron generar un modelo eficaz de gestión para la </w:t>
            </w:r>
            <w:r w:rsidRPr="00FC3A96">
              <w:rPr>
                <w:rFonts w:eastAsia="Avenir Next LT Pro" w:cs="Avenir Next LT Pro"/>
              </w:rPr>
              <w:lastRenderedPageBreak/>
              <w:t>transformación del suelo. Esta trayectoria ha incrementado la desconfianza comunitaria y ha debilitado la capacidad del Estado para activar mecanismos de reconversión justos, sostenibles y atractivos para nuevos actores económicos.</w:t>
            </w:r>
          </w:p>
          <w:p w14:paraId="2F599292" w14:textId="77777777" w:rsidR="00FC3A96" w:rsidRPr="00FC3A96" w:rsidRDefault="00FC3A96" w:rsidP="00FC3A96">
            <w:pPr>
              <w:spacing w:before="240" w:after="240"/>
              <w:jc w:val="both"/>
              <w:rPr>
                <w:rFonts w:eastAsia="Avenir Next LT Pro" w:cs="Avenir Next LT Pro"/>
              </w:rPr>
            </w:pPr>
            <w:r w:rsidRPr="00FC3A96">
              <w:rPr>
                <w:rFonts w:eastAsia="Avenir Next LT Pro" w:cs="Avenir Next LT Pro"/>
              </w:rPr>
              <w:t xml:space="preserve">Con la revisión del POT (Decreto Distrital 555 de 2021) y </w:t>
            </w:r>
            <w:commentRangeStart w:id="3"/>
            <w:r w:rsidRPr="00FC3A96">
              <w:rPr>
                <w:rFonts w:eastAsia="Avenir Next LT Pro" w:cs="Avenir Next LT Pro"/>
              </w:rPr>
              <w:t>la adopción de la Actuación Estratégica Distrito Aeroportuario de Engativá</w:t>
            </w:r>
            <w:commentRangeEnd w:id="3"/>
            <w:r w:rsidRPr="00FC3A96">
              <w:rPr>
                <w:rStyle w:val="Refdecomentario"/>
                <w:rFonts w:eastAsia="Avenir Next LT Pro" w:cs="Avenir Next LT Pro"/>
                <w:sz w:val="22"/>
                <w:szCs w:val="22"/>
              </w:rPr>
              <w:commentReference w:id="3"/>
            </w:r>
            <w:r w:rsidRPr="00FC3A96">
              <w:rPr>
                <w:rFonts w:eastAsia="Avenir Next LT Pro" w:cs="Avenir Next LT Pro"/>
              </w:rPr>
              <w:t xml:space="preserve"> (AEDA Engativá) mediante el Decreto Distrital 290 de 2024 (junto con la formulación en curso de la AEDA Fontibón), se estableció un nuevo marco normativo que permite el </w:t>
            </w:r>
            <w:commentRangeStart w:id="4"/>
            <w:r w:rsidRPr="00FC3A96">
              <w:rPr>
                <w:rFonts w:eastAsia="Avenir Next LT Pro" w:cs="Avenir Next LT Pro"/>
              </w:rPr>
              <w:t>reconocimiento de los usos residenciales existentes como punto de partida</w:t>
            </w:r>
            <w:commentRangeEnd w:id="4"/>
            <w:r w:rsidRPr="00FC3A96">
              <w:rPr>
                <w:rStyle w:val="Refdecomentario"/>
                <w:rFonts w:eastAsia="Avenir Next LT Pro" w:cs="Avenir Next LT Pro"/>
                <w:sz w:val="22"/>
                <w:szCs w:val="22"/>
              </w:rPr>
              <w:commentReference w:id="4"/>
            </w:r>
            <w:r w:rsidRPr="00FC3A96">
              <w:rPr>
                <w:rFonts w:eastAsia="Avenir Next LT Pro" w:cs="Avenir Next LT Pro"/>
              </w:rPr>
              <w:t xml:space="preserve"> para avanzar hacia su transformación gradual, así como facilitar la aplicación de la política de protección a moradores. Además, se creó la </w:t>
            </w:r>
            <w:r w:rsidRPr="00FC3A96">
              <w:rPr>
                <w:rFonts w:eastAsia="Avenir Next LT Pro" w:cs="Avenir Next LT Pro"/>
                <w:b/>
                <w:bCs/>
              </w:rPr>
              <w:t xml:space="preserve">Comisión Intersectorial de Bogotá Ciudad Aeroportuaria </w:t>
            </w:r>
            <w:r w:rsidRPr="00FC3A96">
              <w:rPr>
                <w:rFonts w:eastAsia="Avenir Next LT Pro" w:cs="Avenir Next LT Pro"/>
              </w:rPr>
              <w:t>(Decreto Distrital 050 de 2025), y se inició una agenda de proyectos que busca fortalecer las condiciones institucionales, normativas y técnicas para alinear esfuerzos públicos y privados en torno a un objetivo común: convertir el entorno del aeropuerto en una ciudad-Región aeroportuaria.</w:t>
            </w:r>
          </w:p>
          <w:p w14:paraId="1A58BB71" w14:textId="77777777" w:rsidR="00FC3A96" w:rsidRPr="00FC3A96" w:rsidRDefault="00FC3A96" w:rsidP="00FC3A96">
            <w:pPr>
              <w:spacing w:before="240" w:after="240"/>
              <w:jc w:val="both"/>
              <w:rPr>
                <w:rFonts w:eastAsia="Avenir Next LT Pro" w:cs="Avenir Next LT Pro"/>
              </w:rPr>
            </w:pPr>
            <w:r w:rsidRPr="00FC3A96">
              <w:rPr>
                <w:rFonts w:eastAsia="Avenir Next LT Pro" w:cs="Avenir Next LT Pro"/>
              </w:rPr>
              <w:t>En el primer semestre de 2025, se han adelantado esfuerzos para caracterizar el entorno, identificar oportunidades de englobes prediales, y dando los primeros pasos para un portafolio de proyectos</w:t>
            </w:r>
            <w:r w:rsidRPr="00FC3A96">
              <w:rPr>
                <w:rFonts w:eastAsia="Avenir Next LT Pro" w:cs="Avenir Next LT Pro"/>
                <w:i/>
                <w:iCs/>
              </w:rPr>
              <w:t xml:space="preserve"> tipo</w:t>
            </w:r>
            <w:r w:rsidRPr="00FC3A96">
              <w:rPr>
                <w:rFonts w:eastAsia="Avenir Next LT Pro" w:cs="Avenir Next LT Pro"/>
              </w:rPr>
              <w:t xml:space="preserve"> con apoyo del CIDER de la Universidad de los Andes. Paralelamente, se están estructurando incentivos tributarios y no-tributarios para atraer empresas, y se ha avanzado en la construcción de instrumentos de uso interno de la SDP como el </w:t>
            </w:r>
            <w:commentRangeStart w:id="5"/>
            <w:commentRangeStart w:id="6"/>
            <w:r w:rsidRPr="00FC3A96">
              <w:rPr>
                <w:rFonts w:eastAsia="Avenir Next LT Pro" w:cs="Avenir Next LT Pro"/>
                <w:i/>
                <w:iCs/>
              </w:rPr>
              <w:t>Árbol de Decisión de la SPLO</w:t>
            </w:r>
            <w:commentRangeEnd w:id="5"/>
            <w:r w:rsidRPr="00FC3A96">
              <w:rPr>
                <w:rStyle w:val="Refdecomentario"/>
                <w:rFonts w:eastAsia="Avenir Next LT Pro" w:cs="Avenir Next LT Pro"/>
                <w:sz w:val="22"/>
                <w:szCs w:val="22"/>
              </w:rPr>
              <w:commentReference w:id="5"/>
            </w:r>
            <w:commentRangeEnd w:id="6"/>
            <w:r w:rsidR="00AA14DC" w:rsidRPr="00FC3A96">
              <w:rPr>
                <w:rStyle w:val="Refdecomentario"/>
                <w:rFonts w:eastAsia="Avenir Next LT Pro" w:cs="Avenir Next LT Pro"/>
                <w:sz w:val="22"/>
                <w:szCs w:val="22"/>
              </w:rPr>
              <w:commentReference w:id="6"/>
            </w:r>
            <w:r w:rsidRPr="00FC3A96">
              <w:rPr>
                <w:rFonts w:eastAsia="Avenir Next LT Pro" w:cs="Avenir Next LT Pro"/>
              </w:rPr>
              <w:t xml:space="preserve">, que permite visualizar rutas de participación para moradores interesados en transformar el uso de sus predios; y la definición de áreas de oportunidad con uso de información espacial y socioeconómica. </w:t>
            </w:r>
          </w:p>
          <w:p w14:paraId="591B8DB4" w14:textId="77777777" w:rsidR="00FC3A96" w:rsidRPr="00FC3A96" w:rsidRDefault="00FC3A96" w:rsidP="00FC3A96">
            <w:pPr>
              <w:spacing w:before="240" w:after="240"/>
              <w:jc w:val="both"/>
              <w:rPr>
                <w:rFonts w:eastAsia="Avenir Next LT Pro" w:cs="Avenir Next LT Pro"/>
              </w:rPr>
            </w:pPr>
            <w:r w:rsidRPr="00FC3A96">
              <w:rPr>
                <w:rFonts w:eastAsia="Avenir Next LT Pro" w:cs="Avenir Next LT Pro"/>
              </w:rPr>
              <w:t xml:space="preserve">Se identificaron </w:t>
            </w:r>
            <w:commentRangeStart w:id="7"/>
            <w:commentRangeStart w:id="8"/>
            <w:r w:rsidRPr="00FC3A96">
              <w:rPr>
                <w:rFonts w:eastAsia="Avenir Next LT Pro" w:cs="Avenir Next LT Pro"/>
                <w:b/>
                <w:bCs/>
              </w:rPr>
              <w:t>63 englobes potenciales</w:t>
            </w:r>
            <w:r w:rsidRPr="00FC3A96">
              <w:rPr>
                <w:rFonts w:eastAsia="Avenir Next LT Pro" w:cs="Avenir Next LT Pro"/>
              </w:rPr>
              <w:t>,</w:t>
            </w:r>
            <w:r w:rsidRPr="00FC3A96">
              <w:rPr>
                <w:rFonts w:eastAsia="Avenir Next LT Pro" w:cs="Avenir Next LT Pro"/>
                <w:b/>
                <w:bCs/>
              </w:rPr>
              <w:t xml:space="preserve"> equivalentes a más de 39 hectáreas de suelo para proyectos de reconversión</w:t>
            </w:r>
            <w:r w:rsidRPr="00FC3A96">
              <w:rPr>
                <w:rFonts w:eastAsia="Avenir Next LT Pro" w:cs="Avenir Next LT Pro"/>
              </w:rPr>
              <w:t>.</w:t>
            </w:r>
            <w:commentRangeEnd w:id="7"/>
            <w:r w:rsidRPr="00FC3A96">
              <w:rPr>
                <w:rStyle w:val="Refdecomentario"/>
                <w:rFonts w:eastAsia="Avenir Next LT Pro" w:cs="Avenir Next LT Pro"/>
                <w:sz w:val="22"/>
                <w:szCs w:val="22"/>
              </w:rPr>
              <w:commentReference w:id="7"/>
            </w:r>
            <w:commentRangeEnd w:id="8"/>
            <w:r w:rsidR="00AA14DC" w:rsidRPr="00FC3A96">
              <w:rPr>
                <w:rStyle w:val="Refdecomentario"/>
                <w:rFonts w:eastAsia="Avenir Next LT Pro" w:cs="Avenir Next LT Pro"/>
                <w:sz w:val="22"/>
                <w:szCs w:val="22"/>
              </w:rPr>
              <w:commentReference w:id="8"/>
            </w:r>
            <w:r w:rsidRPr="00FC3A96">
              <w:rPr>
                <w:rFonts w:eastAsia="Avenir Next LT Pro" w:cs="Avenir Next LT Pro"/>
              </w:rPr>
              <w:t xml:space="preserve"> Sin embargo, estos procesos exigen superar obstáculos estructurales en la gestión predial, la articulación con los propietarios del suelo y la construcción de confianza para tomar decisiones informadas.</w:t>
            </w:r>
          </w:p>
          <w:p w14:paraId="11182050" w14:textId="77777777" w:rsidR="00FC3A96" w:rsidRPr="00FC3A96" w:rsidRDefault="00FC3A96" w:rsidP="00FC3A96">
            <w:pPr>
              <w:spacing w:before="240" w:after="240"/>
              <w:jc w:val="both"/>
              <w:rPr>
                <w:rFonts w:eastAsia="Avenir Next LT Pro" w:cs="Avenir Next LT Pro"/>
              </w:rPr>
            </w:pPr>
            <w:r w:rsidRPr="00FC3A96">
              <w:rPr>
                <w:rFonts w:eastAsia="Avenir Next LT Pro" w:cs="Avenir Next LT Pro"/>
              </w:rPr>
              <w:t>Para comprender este reto, se identificaron dos actores que componen sus líneas de acción:</w:t>
            </w:r>
          </w:p>
          <w:p w14:paraId="659C6272" w14:textId="77777777" w:rsidR="00FC3A96" w:rsidRPr="00FC3A96" w:rsidRDefault="00FC3A96" w:rsidP="00FC3A96">
            <w:pPr>
              <w:spacing w:before="240" w:after="240"/>
              <w:jc w:val="both"/>
              <w:rPr>
                <w:rFonts w:eastAsia="Avenir Next LT Pro" w:cs="Avenir Next LT Pro"/>
              </w:rPr>
            </w:pPr>
            <w:r w:rsidRPr="00FC3A96">
              <w:rPr>
                <w:rFonts w:eastAsia="Avenir Next LT Pro" w:cs="Avenir Next LT Pro"/>
                <w:b/>
                <w:bCs/>
              </w:rPr>
              <w:t>Línea No. 1: El morador-propietario localizado en la Zona de Influencia Directa Aeroportuaria (ZIDA):</w:t>
            </w:r>
            <w:r w:rsidRPr="00FC3A96">
              <w:rPr>
                <w:rFonts w:eastAsia="Avenir Next LT Pro" w:cs="Avenir Next LT Pro"/>
              </w:rPr>
              <w:t xml:space="preserve"> personas que son dueñas de predios que actualmente son residenciales</w:t>
            </w:r>
            <w:commentRangeStart w:id="9"/>
            <w:commentRangeEnd w:id="9"/>
            <w:r w:rsidRPr="00FC3A96">
              <w:rPr>
                <w:rStyle w:val="Refdecomentario"/>
                <w:rFonts w:eastAsia="Avenir Next LT Pro" w:cs="Avenir Next LT Pro"/>
                <w:sz w:val="22"/>
                <w:szCs w:val="22"/>
              </w:rPr>
              <w:commentReference w:id="9"/>
            </w:r>
            <w:r w:rsidRPr="00FC3A96">
              <w:rPr>
                <w:rFonts w:eastAsia="Avenir Next LT Pro" w:cs="Avenir Next LT Pro"/>
              </w:rPr>
              <w:t xml:space="preserve">. </w:t>
            </w:r>
            <w:commentRangeStart w:id="10"/>
            <w:commentRangeEnd w:id="10"/>
            <w:r w:rsidRPr="00FC3A96">
              <w:rPr>
                <w:rStyle w:val="Refdecomentario"/>
                <w:rFonts w:eastAsia="Avenir Next LT Pro" w:cs="Avenir Next LT Pro"/>
                <w:sz w:val="22"/>
                <w:szCs w:val="22"/>
              </w:rPr>
              <w:commentReference w:id="10"/>
            </w:r>
            <w:r w:rsidRPr="00FC3A96">
              <w:rPr>
                <w:rFonts w:eastAsia="Avenir Next LT Pro" w:cs="Avenir Next LT Pro"/>
              </w:rPr>
              <w:t xml:space="preserve">En desarrollo de los ejercicios de delimitación del problema de este reto, la SPLO identificó que estos usuarios interactúan principalmente a través de canales como WhatsApp, voz a voz, actores políticos inconstantes y comités ciudadanos formales (en el marco del Decreto 599 de 2023). </w:t>
            </w:r>
            <w:r w:rsidRPr="00FC3A96">
              <w:rPr>
                <w:rFonts w:eastAsia="Avenir Next LT Pro" w:cs="Avenir Next LT Pro"/>
                <w:b/>
                <w:bCs/>
              </w:rPr>
              <w:t xml:space="preserve">Aunque desde la institucionalidad se han emitido mensajes generales sobre el proceso de reconversión productiva, no se ha logrado comunicar de manera clara y específica en qué consiste ni cuáles podrían ser los beneficios o afectaciones concretas para la ciudadanía. </w:t>
            </w:r>
            <w:r w:rsidRPr="00FC3A96">
              <w:rPr>
                <w:rFonts w:eastAsia="Avenir Next LT Pro" w:cs="Avenir Next LT Pro"/>
              </w:rPr>
              <w:t>Esto se relaciona con la falta de una caracterización profunda de sus intereses, temores, expectativas y condiciones, lo que dificulta traducir los lineamientos existentes a sus realidades y generar información pertinente para la toma de decisiones informadas.</w:t>
            </w:r>
          </w:p>
          <w:p w14:paraId="3B7990E5" w14:textId="77777777" w:rsidR="00FC3A96" w:rsidRPr="00FC3A96" w:rsidRDefault="00FC3A96" w:rsidP="00FC3A96">
            <w:pPr>
              <w:spacing w:before="240" w:after="240"/>
              <w:jc w:val="both"/>
              <w:rPr>
                <w:rFonts w:eastAsia="Avenir Next LT Pro" w:cs="Avenir Next LT Pro"/>
                <w:color w:val="000000" w:themeColor="text1"/>
              </w:rPr>
            </w:pPr>
            <w:r w:rsidRPr="00FC3A96">
              <w:rPr>
                <w:rFonts w:eastAsia="Avenir Next LT Pro" w:cs="Avenir Next LT Pro"/>
                <w:color w:val="000000" w:themeColor="text1"/>
              </w:rPr>
              <w:t>La ausencia de un entendimiento profundo de los intereses de los moradores-propietarios impide conocer su disposición real a participar en procesos de reconversión, y esto dificulta la identificación de la oferta de suelo con mayor potencial de ser reconvertido y sus oportunidades efectivas. A su vez, esta incertidumbre limita la posibilidad de diseñar estrategias de organización colectiva que permitan superar la gestión fragmentada predio a predio, obstaculizando la consolidación de englobes con las áreas requeridas por las actividades afines a la vocación del entorno aeroportuario y, por lo tanto, imposibilitando la atracción de inversión empresarial y avanzar en la materialización de la visión territorial planteada para esta zona estratégica de la ciudad.</w:t>
            </w:r>
          </w:p>
          <w:p w14:paraId="41B88718" w14:textId="77777777" w:rsidR="00FC3A96" w:rsidRPr="00FC3A96" w:rsidRDefault="00FC3A96" w:rsidP="00FC3A96">
            <w:pPr>
              <w:jc w:val="both"/>
              <w:rPr>
                <w:rFonts w:eastAsia="Avenir Next LT Pro" w:cs="Avenir Next LT Pro"/>
                <w:color w:val="000000" w:themeColor="text1"/>
                <w:highlight w:val="yellow"/>
              </w:rPr>
            </w:pPr>
            <w:r w:rsidRPr="00FC3A96">
              <w:rPr>
                <w:rFonts w:eastAsia="Avenir Next LT Pro" w:cs="Avenir Next LT Pro"/>
                <w:b/>
                <w:bCs/>
                <w:color w:val="000000" w:themeColor="text1"/>
              </w:rPr>
              <w:t xml:space="preserve">Línea No. 2: Los empresarios de las actividades económicas que se esperan atraer a la Zona de influencia aeroportuaria. </w:t>
            </w:r>
            <w:r w:rsidRPr="00FC3A96">
              <w:rPr>
                <w:rFonts w:eastAsia="Avenir Next LT Pro" w:cs="Avenir Next LT Pro"/>
              </w:rPr>
              <w:t xml:space="preserve">Desde la perspectiva de los actores del sector empresarial —desarrolladores, gestores inmobiliarios, inversionistas y potenciales </w:t>
            </w:r>
            <w:r w:rsidRPr="00FC3A96">
              <w:rPr>
                <w:rFonts w:eastAsia="Avenir Next LT Pro" w:cs="Avenir Next LT Pro"/>
              </w:rPr>
              <w:lastRenderedPageBreak/>
              <w:t xml:space="preserve">empresas— el entorno del aeropuerto presenta un </w:t>
            </w:r>
            <w:r w:rsidRPr="00FC3A96">
              <w:rPr>
                <w:rFonts w:eastAsia="Avenir Next LT Pro" w:cs="Avenir Next LT Pro"/>
                <w:b/>
                <w:bCs/>
              </w:rPr>
              <w:t>potencial inexplorado para la generación de productos inmobiliarios de alta calidad en industria y logística (clasificación AAA y AA)</w:t>
            </w:r>
            <w:r w:rsidRPr="00FC3A96">
              <w:rPr>
                <w:rFonts w:eastAsia="Avenir Next LT Pro" w:cs="Avenir Next LT Pro"/>
              </w:rPr>
              <w:t xml:space="preserve">. Sin embargo, la </w:t>
            </w:r>
            <w:r w:rsidRPr="00FC3A96">
              <w:rPr>
                <w:rFonts w:eastAsia="Avenir Next LT Pro" w:cs="Avenir Next LT Pro"/>
                <w:b/>
                <w:bCs/>
              </w:rPr>
              <w:t xml:space="preserve">disponibilidad efectiva de suelo habilitado y la competencia con los submercados de la sabana </w:t>
            </w:r>
            <w:r w:rsidRPr="00FC3A96">
              <w:rPr>
                <w:rFonts w:eastAsia="Avenir Next LT Pro" w:cs="Avenir Next LT Pro"/>
              </w:rPr>
              <w:t xml:space="preserve">continúan siendo factores limitantes frente a la toma de decisiones de inversión. </w:t>
            </w:r>
          </w:p>
          <w:p w14:paraId="5F237EC1" w14:textId="77777777" w:rsidR="00FC3A96" w:rsidRPr="00FC3A96" w:rsidRDefault="00FC3A96" w:rsidP="00FC3A96">
            <w:pPr>
              <w:spacing w:before="240" w:after="240"/>
              <w:jc w:val="both"/>
              <w:rPr>
                <w:rFonts w:eastAsia="Avenir Next LT Pro" w:cs="Avenir Next LT Pro"/>
                <w:b/>
                <w:bCs/>
              </w:rPr>
            </w:pPr>
            <w:r w:rsidRPr="00FC3A96">
              <w:rPr>
                <w:rFonts w:eastAsia="Avenir Next LT Pro" w:cs="Avenir Next LT Pro"/>
              </w:rPr>
              <w:t>A pesar de que se ha identificado en líneas generales cuáles son las actividades económicas que se consideran más pertinentes para la Área de influencia aeroportuaria, no hay claridad sobre la información que reciben los empresarios, ni cuáles son los beneficios, afectaciones, barreras o implicaciones que les significa participar del proceso de reconversión en la zona. Esto dificulta entonces la capacidad de la administración para facilitar su vinculación en el proceso, y por lo tanto de lograr el establecimiento de los usos deseables en la zona.</w:t>
            </w:r>
          </w:p>
          <w:p w14:paraId="6FC2A68D" w14:textId="77777777" w:rsidR="00FC3A96" w:rsidRPr="00FC3A96" w:rsidRDefault="00FC3A96" w:rsidP="00FC3A96">
            <w:pPr>
              <w:spacing w:before="240" w:after="240"/>
              <w:jc w:val="both"/>
            </w:pPr>
            <w:r w:rsidRPr="00FC3A96">
              <w:rPr>
                <w:rFonts w:eastAsia="Avenir Next LT Pro" w:cs="Avenir Next LT Pro"/>
              </w:rPr>
              <w:t xml:space="preserve">Los actores del sector reconocen que el </w:t>
            </w:r>
            <w:r w:rsidRPr="00FC3A96">
              <w:rPr>
                <w:rFonts w:eastAsia="Avenir Next LT Pro" w:cs="Avenir Next LT Pro"/>
                <w:b/>
                <w:bCs/>
              </w:rPr>
              <w:t xml:space="preserve">valor del suelo y su disponibilidad condicionan fuertemente el apetito del mercado, </w:t>
            </w:r>
            <w:r w:rsidRPr="00FC3A96">
              <w:rPr>
                <w:rFonts w:eastAsia="Avenir Next LT Pro" w:cs="Avenir Next LT Pro"/>
              </w:rPr>
              <w:t>lo cual se suma a la ausencia de esquemas claros de gestión asociada que resulta en una limitante para los tipos de desarrollo posibles, particularmente para</w:t>
            </w:r>
            <w:commentRangeStart w:id="11"/>
            <w:r w:rsidRPr="00FC3A96">
              <w:rPr>
                <w:rFonts w:eastAsia="Avenir Next LT Pro" w:cs="Avenir Next LT Pro"/>
              </w:rPr>
              <w:t xml:space="preserve"> el desarrollo contra demanda </w:t>
            </w:r>
            <w:commentRangeEnd w:id="11"/>
            <w:r w:rsidRPr="00FC3A96">
              <w:rPr>
                <w:rStyle w:val="Refdecomentario"/>
                <w:rFonts w:eastAsia="Avenir Next LT Pro" w:cs="Avenir Next LT Pro"/>
                <w:sz w:val="22"/>
                <w:szCs w:val="22"/>
              </w:rPr>
              <w:commentReference w:id="11"/>
            </w:r>
            <w:r w:rsidRPr="00FC3A96">
              <w:rPr>
                <w:rFonts w:eastAsia="Avenir Next LT Pro" w:cs="Avenir Next LT Pro"/>
              </w:rPr>
              <w:t>para grandes jugadores interesados. La falta de mecanismos claros y transparentes a todos los actores que permitan identificar, evaluar y consolidar englobes en diferentes escalas impide estructurar una oferta competitiva frente a otras zonas logísticas metropolitanas fuera del perímetro de Bogotá, generando incertidumbre sobre la viabilidad financiera de los proyectos.</w:t>
            </w:r>
          </w:p>
          <w:p w14:paraId="197C5368" w14:textId="77777777" w:rsidR="00FC3A96" w:rsidRPr="00FC3A96" w:rsidRDefault="00FC3A96" w:rsidP="00FC3A96">
            <w:pPr>
              <w:spacing w:before="240" w:after="240"/>
              <w:jc w:val="both"/>
              <w:rPr>
                <w:rFonts w:eastAsia="Avenir Next LT Pro" w:cs="Avenir Next LT Pro"/>
                <w:b/>
                <w:bCs/>
              </w:rPr>
            </w:pPr>
            <w:r w:rsidRPr="00FC3A96">
              <w:rPr>
                <w:rFonts w:eastAsia="Avenir Next LT Pro" w:cs="Avenir Next LT Pro"/>
                <w:b/>
                <w:bCs/>
              </w:rPr>
              <w:t>Conclusión:</w:t>
            </w:r>
          </w:p>
          <w:p w14:paraId="51986AB6" w14:textId="77777777" w:rsidR="00FC3A96" w:rsidRPr="00FC3A96" w:rsidRDefault="00FC3A96" w:rsidP="00FC3A96">
            <w:pPr>
              <w:spacing w:before="240" w:after="240"/>
              <w:jc w:val="both"/>
              <w:rPr>
                <w:rFonts w:eastAsia="Avenir Next LT Pro" w:cs="Avenir Next LT Pro"/>
              </w:rPr>
            </w:pPr>
            <w:r w:rsidRPr="00FC3A96">
              <w:rPr>
                <w:rFonts w:eastAsia="Avenir Next LT Pro" w:cs="Avenir Next LT Pro"/>
              </w:rPr>
              <w:t xml:space="preserve">Aunque la administración ha avanzado en la formulación de un marco normativo para incentivar la reconversión, como lineamientos e incentivos, no ha logrado ser comprendido por los actores del territorio, en parte porque no han sido suficientemente traducidos o adaptados a sus realidades, lenguajes y preocupaciones. Esta limitación refleja, a su vez, una brecha en el conocimiento institucional sobre los moradores-propietarios y los empresarios: </w:t>
            </w:r>
            <w:r w:rsidRPr="00FC3A96">
              <w:rPr>
                <w:rFonts w:eastAsia="Avenir Next LT Pro" w:cs="Avenir Next LT Pro"/>
                <w:b/>
                <w:bCs/>
              </w:rPr>
              <w:t>el Distrito no conoce a profundidad sus intereses, temores, expectativas, y formas de relacionarse con el suelo y las oportunidades económicas.</w:t>
            </w:r>
          </w:p>
          <w:p w14:paraId="5F42AF38" w14:textId="77777777" w:rsidR="00FC3A96" w:rsidRPr="00FC3A96" w:rsidRDefault="00FC3A96" w:rsidP="00FC3A96">
            <w:pPr>
              <w:spacing w:before="240" w:after="240"/>
              <w:jc w:val="both"/>
              <w:rPr>
                <w:rFonts w:eastAsia="Avenir Next LT Pro" w:cs="Avenir Next LT Pro"/>
              </w:rPr>
            </w:pPr>
            <w:r w:rsidRPr="00FC3A96">
              <w:rPr>
                <w:rFonts w:eastAsia="Avenir Next LT Pro" w:cs="Avenir Next LT Pro"/>
              </w:rPr>
              <w:t>Sin una lectura más profunda y situada de estos actores, resulta difícil generar información pertinente y comprensible que les permita tomar decisiones informadas y eficientes sobre su participación. En consecuencia, la reconversión continúa enfrentando resistencias, incertidumbre y baja disposición a vincularse al proceso, lo que ralentiza la consolidación de los usos económicos deseados en el entorno aeroportuario.</w:t>
            </w:r>
          </w:p>
          <w:p w14:paraId="1C48CECA" w14:textId="77777777" w:rsidR="00FC3A96" w:rsidRPr="00FC3A96" w:rsidRDefault="00FC3A96" w:rsidP="00FC3A96">
            <w:pPr>
              <w:spacing w:before="240" w:after="240"/>
              <w:jc w:val="both"/>
              <w:rPr>
                <w:rFonts w:eastAsia="Avenir Next LT Pro" w:cs="Avenir Next LT Pro"/>
              </w:rPr>
            </w:pPr>
            <w:r w:rsidRPr="00FC3A96">
              <w:rPr>
                <w:rFonts w:eastAsia="Avenir Next LT Pro" w:cs="Avenir Next LT Pro"/>
              </w:rPr>
              <w:t xml:space="preserve">Asimismo, la generación, actualización y disposición dinámica de esta información continúa siendo un desafío. Los mecanismos actuales no permiten mantener actualizadas </w:t>
            </w:r>
            <w:commentRangeStart w:id="12"/>
            <w:commentRangeStart w:id="13"/>
            <w:commentRangeEnd w:id="12"/>
            <w:r w:rsidRPr="00FC3A96">
              <w:rPr>
                <w:rStyle w:val="Refdecomentario"/>
                <w:rFonts w:eastAsia="Avenir Next LT Pro" w:cs="Avenir Next LT Pro"/>
                <w:sz w:val="22"/>
                <w:szCs w:val="22"/>
              </w:rPr>
              <w:commentReference w:id="12"/>
            </w:r>
            <w:commentRangeEnd w:id="13"/>
            <w:r w:rsidR="00AA14DC" w:rsidRPr="00FC3A96">
              <w:rPr>
                <w:rStyle w:val="Refdecomentario"/>
                <w:rFonts w:eastAsia="Avenir Next LT Pro" w:cs="Avenir Next LT Pro"/>
                <w:sz w:val="22"/>
                <w:szCs w:val="22"/>
              </w:rPr>
              <w:commentReference w:id="13"/>
            </w:r>
            <w:r w:rsidRPr="00FC3A96">
              <w:rPr>
                <w:rFonts w:eastAsia="Avenir Next LT Pro" w:cs="Avenir Next LT Pro"/>
              </w:rPr>
              <w:t>las mediciones sobre las percepciones, posiciones y decisiones de los actores frente al proceso. Adicionalmente, la documentación técnica del proceso continúa siendo poco accesible y difícil de interpretar para la ciudadanía, lo que dificulta que los actores comprendan los pasos, condiciones y consecuencias de involucrarse en la reconversión.</w:t>
            </w:r>
          </w:p>
          <w:p w14:paraId="5CE93B2B" w14:textId="3A99CDFD" w:rsidR="00DF4158" w:rsidRPr="005E16B3" w:rsidRDefault="00FC3A96" w:rsidP="00CB73CC">
            <w:pPr>
              <w:jc w:val="both"/>
              <w:rPr>
                <w:rFonts w:eastAsia="Avenir Next LT Pro" w:cs="Arial"/>
              </w:rPr>
            </w:pPr>
            <w:r w:rsidRPr="00FC3A96">
              <w:rPr>
                <w:rFonts w:eastAsia="Avenir Next LT Pro" w:cs="Avenir Next LT Pro"/>
              </w:rPr>
              <w:t xml:space="preserve">Estos vacíos en la información generan incertidumbre y un entorno donde prevalece el miedo sobre el interés en nuevas oportunidades, en un contexto que se percibe amenazante. Si bien los actores son capaces de reconocer el cambio en el entorno de incentivos y oportunidades en la reconversión, se identifica que </w:t>
            </w:r>
            <w:r w:rsidRPr="00FC3A96">
              <w:rPr>
                <w:rFonts w:eastAsia="Avenir Next LT Pro" w:cs="Avenir Next LT Pro"/>
                <w:b/>
                <w:bCs/>
              </w:rPr>
              <w:t>no cuentan con mecanismos de información accesible, canales confiables o claridad para participar de manera activa, segura y eficiente.</w:t>
            </w:r>
          </w:p>
          <w:p w14:paraId="3212A5CD" w14:textId="5B3FFFE7" w:rsidR="00C61C08" w:rsidRPr="005E16B3" w:rsidRDefault="00C61C08" w:rsidP="02260816">
            <w:pPr>
              <w:jc w:val="both"/>
              <w:rPr>
                <w:rFonts w:eastAsia="Avenir Next LT Pro" w:cs="Arial"/>
              </w:rPr>
            </w:pPr>
          </w:p>
          <w:p w14:paraId="122559FB" w14:textId="50C8DF21" w:rsidR="00C61C08" w:rsidRPr="005E16B3" w:rsidRDefault="00C61C08" w:rsidP="02260816">
            <w:pPr>
              <w:jc w:val="both"/>
              <w:rPr>
                <w:rFonts w:eastAsia="Avenir Next LT Pro" w:cs="Arial"/>
              </w:rPr>
            </w:pPr>
          </w:p>
          <w:p w14:paraId="343C07ED" w14:textId="52218F8B" w:rsidR="00C61C08" w:rsidRPr="005E16B3" w:rsidRDefault="00C61C08" w:rsidP="00CB73CC">
            <w:pPr>
              <w:jc w:val="both"/>
              <w:rPr>
                <w:rFonts w:eastAsia="Avenir Next LT Pro" w:cs="Arial"/>
              </w:rPr>
            </w:pPr>
          </w:p>
        </w:tc>
      </w:tr>
      <w:tr w:rsidR="00DF4158" w:rsidRPr="005E16B3" w14:paraId="76DACE1C" w14:textId="77777777" w:rsidTr="00173BEF">
        <w:tc>
          <w:tcPr>
            <w:tcW w:w="5377" w:type="dxa"/>
          </w:tcPr>
          <w:p w14:paraId="1D8BC63D" w14:textId="63141709" w:rsidR="00B10208" w:rsidRPr="00B10208" w:rsidRDefault="00DF4158" w:rsidP="00B10208">
            <w:pPr>
              <w:rPr>
                <w:rFonts w:eastAsia="Avenir Next LT Pro" w:cs="Arial"/>
                <w:b/>
                <w:bCs/>
                <w:sz w:val="20"/>
                <w:szCs w:val="20"/>
              </w:rPr>
            </w:pPr>
            <w:r w:rsidRPr="23BD7645">
              <w:rPr>
                <w:rFonts w:eastAsia="Avenir Next LT Pro" w:cs="Arial"/>
                <w:b/>
                <w:bCs/>
                <w:sz w:val="20"/>
                <w:szCs w:val="20"/>
              </w:rPr>
              <w:lastRenderedPageBreak/>
              <w:t>Antecedentes</w:t>
            </w:r>
          </w:p>
          <w:p w14:paraId="26EB3519" w14:textId="77777777" w:rsidR="00B10208" w:rsidRPr="00615CF8" w:rsidRDefault="00B10208" w:rsidP="00B10208">
            <w:pPr>
              <w:jc w:val="both"/>
              <w:rPr>
                <w:rFonts w:eastAsia="Avenir Next LT Pro" w:cs="Avenir Next LT Pro"/>
                <w:color w:val="000000" w:themeColor="text1"/>
                <w:sz w:val="20"/>
                <w:szCs w:val="20"/>
              </w:rPr>
            </w:pPr>
            <w:r w:rsidRPr="00615CF8">
              <w:rPr>
                <w:rFonts w:eastAsia="Avenir Next LT Pro" w:cs="Avenir Next LT Pro"/>
                <w:color w:val="000000" w:themeColor="text1"/>
                <w:sz w:val="20"/>
                <w:szCs w:val="20"/>
              </w:rPr>
              <w:t>Desde la perspectiva normativa y de gestión de instrumentos de planeación, tanto el gobierno nacional como el distrital ha intentado tomar decisiones orientadas a mejorar el diálogo del aeropuerto con su entorno. A continuación, resumimos algunos hitos remarcables y los motivos por los que han fallado:</w:t>
            </w:r>
          </w:p>
          <w:p w14:paraId="2860CD7C" w14:textId="77777777" w:rsidR="00B10208" w:rsidRPr="00615CF8" w:rsidRDefault="00B10208" w:rsidP="00B10208">
            <w:pPr>
              <w:rPr>
                <w:rFonts w:eastAsia="Avenir Next LT Pro" w:cs="Avenir Next LT Pro"/>
                <w:color w:val="000000" w:themeColor="text1"/>
                <w:sz w:val="20"/>
                <w:szCs w:val="20"/>
              </w:rPr>
            </w:pPr>
          </w:p>
          <w:p w14:paraId="24B7D9E0" w14:textId="77777777" w:rsidR="00B10208" w:rsidRPr="00615CF8" w:rsidRDefault="00B10208" w:rsidP="00B10208">
            <w:pPr>
              <w:pStyle w:val="Prrafodelista"/>
              <w:numPr>
                <w:ilvl w:val="0"/>
                <w:numId w:val="22"/>
              </w:numPr>
              <w:spacing w:line="240" w:lineRule="auto"/>
              <w:jc w:val="both"/>
              <w:rPr>
                <w:rFonts w:eastAsia="Avenir Next LT Pro" w:cs="Avenir Next LT Pro"/>
                <w:color w:val="000000" w:themeColor="text1"/>
                <w:sz w:val="20"/>
                <w:szCs w:val="20"/>
              </w:rPr>
            </w:pPr>
            <w:r w:rsidRPr="00615CF8">
              <w:rPr>
                <w:rFonts w:eastAsia="Avenir Next LT Pro" w:cs="Avenir Next LT Pro"/>
                <w:color w:val="000000" w:themeColor="text1"/>
                <w:sz w:val="20"/>
                <w:szCs w:val="20"/>
              </w:rPr>
              <w:t xml:space="preserve">Con el Decreto Distrital 765 de 1999 se estableció, por primera vez, un área de influencia aeroportuaria en la que se restringían, explícitamente, los usos residenciales y algunos servicios dotacionales, convirtiendo por norma distrital el entorno del aeropuerto a usos industriales. Esta norma no tuvo aplicabilidad y motivó fuertes confrontaciones con los actores comunitarios, implicando, además, un deterioro de los soportes urbanos, ante la negativa de la ciudad de proveer los soportes para la actividad que ya tenía lugar. </w:t>
            </w:r>
          </w:p>
          <w:p w14:paraId="3C2E3952" w14:textId="77777777" w:rsidR="00B10208" w:rsidRPr="00615CF8" w:rsidRDefault="00B10208" w:rsidP="00B10208">
            <w:pPr>
              <w:pStyle w:val="Prrafodelista"/>
              <w:numPr>
                <w:ilvl w:val="0"/>
                <w:numId w:val="22"/>
              </w:numPr>
              <w:spacing w:line="240" w:lineRule="auto"/>
              <w:jc w:val="both"/>
              <w:rPr>
                <w:rFonts w:eastAsia="Avenir Next LT Pro" w:cs="Avenir Next LT Pro"/>
                <w:color w:val="000000" w:themeColor="text1"/>
                <w:sz w:val="20"/>
                <w:szCs w:val="20"/>
              </w:rPr>
            </w:pPr>
            <w:r w:rsidRPr="00615CF8">
              <w:rPr>
                <w:rFonts w:eastAsia="Avenir Next LT Pro" w:cs="Avenir Next LT Pro"/>
                <w:color w:val="000000" w:themeColor="text1"/>
                <w:sz w:val="20"/>
                <w:szCs w:val="20"/>
              </w:rPr>
              <w:t>Con las operaciones estructurantes (DD 619 de 1999) – Operaciones estratégicas (DD 190 de 2004), la ciudad estableció un camino para dar una reglamentación específica a esta zona de la ciudad (con las Unidades de Planeamiento Zonal a través de un Plan de Ordenamiento Zonal). No se logró reglamentar estas UPZ por la disonancia entre usos propuestos y reales.</w:t>
            </w:r>
          </w:p>
          <w:p w14:paraId="5459DB8D" w14:textId="77777777" w:rsidR="00B10208" w:rsidRPr="00615CF8" w:rsidRDefault="00B10208" w:rsidP="00B10208">
            <w:pPr>
              <w:pStyle w:val="Prrafodelista"/>
              <w:numPr>
                <w:ilvl w:val="0"/>
                <w:numId w:val="22"/>
              </w:numPr>
              <w:spacing w:line="240" w:lineRule="auto"/>
              <w:jc w:val="both"/>
              <w:rPr>
                <w:rFonts w:eastAsia="Avenir Next LT Pro" w:cs="Avenir Next LT Pro"/>
                <w:color w:val="000000" w:themeColor="text1"/>
                <w:sz w:val="20"/>
                <w:szCs w:val="20"/>
              </w:rPr>
            </w:pPr>
            <w:r w:rsidRPr="00615CF8">
              <w:rPr>
                <w:rFonts w:eastAsia="Avenir Next LT Pro" w:cs="Avenir Next LT Pro"/>
                <w:color w:val="000000" w:themeColor="text1"/>
                <w:sz w:val="20"/>
                <w:szCs w:val="20"/>
              </w:rPr>
              <w:t>La reglamentación de la OEDA se logró solo en 2019, principalmente porque no había condiciones para diseñar la norma urbana requerida y por la confrontación continua con actores comunitarios. El marco normativo no facilitaba la gestión asociada y no había un responsable claro de la problemática habitacional en la administración distrital.</w:t>
            </w:r>
          </w:p>
          <w:p w14:paraId="1648851F" w14:textId="77777777" w:rsidR="00B10208" w:rsidRPr="00615CF8" w:rsidRDefault="00B10208" w:rsidP="00B10208">
            <w:pPr>
              <w:pStyle w:val="Prrafodelista"/>
              <w:numPr>
                <w:ilvl w:val="0"/>
                <w:numId w:val="22"/>
              </w:numPr>
              <w:spacing w:line="240" w:lineRule="auto"/>
              <w:jc w:val="both"/>
              <w:rPr>
                <w:rFonts w:eastAsia="Avenir Next LT Pro" w:cs="Avenir Next LT Pro"/>
                <w:color w:val="000000" w:themeColor="text1"/>
                <w:sz w:val="20"/>
                <w:szCs w:val="20"/>
              </w:rPr>
            </w:pPr>
            <w:r w:rsidRPr="00615CF8">
              <w:rPr>
                <w:rFonts w:eastAsia="Avenir Next LT Pro" w:cs="Avenir Next LT Pro"/>
                <w:color w:val="000000" w:themeColor="text1"/>
                <w:sz w:val="20"/>
                <w:szCs w:val="20"/>
              </w:rPr>
              <w:t>Con la Operación Estratégica del Distrito Aeroportuario - OEDA (Decreto Distrital 824 de 2019), se propuso un contenido programático que condensó acuerdos logrados con actores comunitarios y entidades del Distrito, pero que su desarrollo reglamentario en términos urbanísticos dependía del proyecto fallido de modificación del POT de Bogotá. La gestión asociada seguía siendo un pendiente y no había actores a cargo de la problemática habitacional en el entorno aeroportuario.</w:t>
            </w:r>
          </w:p>
          <w:p w14:paraId="7727A204" w14:textId="77777777" w:rsidR="00B10208" w:rsidRPr="00615CF8" w:rsidRDefault="00B10208" w:rsidP="00B10208">
            <w:pPr>
              <w:jc w:val="both"/>
              <w:rPr>
                <w:rFonts w:eastAsia="Avenir Next LT Pro" w:cs="Avenir Next LT Pro"/>
                <w:color w:val="000000" w:themeColor="text1"/>
                <w:sz w:val="20"/>
                <w:szCs w:val="20"/>
              </w:rPr>
            </w:pPr>
          </w:p>
          <w:p w14:paraId="467F76A7" w14:textId="77777777" w:rsidR="00B10208" w:rsidRPr="00615CF8" w:rsidRDefault="00B10208" w:rsidP="00B10208">
            <w:pPr>
              <w:jc w:val="both"/>
              <w:rPr>
                <w:rFonts w:eastAsia="Avenir Next LT Pro" w:cs="Avenir Next LT Pro"/>
                <w:color w:val="000000" w:themeColor="text1"/>
                <w:sz w:val="20"/>
                <w:szCs w:val="20"/>
              </w:rPr>
            </w:pPr>
            <w:r w:rsidRPr="00615CF8">
              <w:rPr>
                <w:rFonts w:eastAsia="Avenir Next LT Pro" w:cs="Avenir Next LT Pro"/>
                <w:color w:val="000000" w:themeColor="text1"/>
                <w:sz w:val="20"/>
                <w:szCs w:val="20"/>
              </w:rPr>
              <w:t>Actualmente, con el nuevo POT, entre otras cosas:</w:t>
            </w:r>
          </w:p>
          <w:p w14:paraId="22F7C09B" w14:textId="77777777" w:rsidR="00B10208" w:rsidRPr="00615CF8" w:rsidRDefault="00B10208" w:rsidP="00B10208">
            <w:pPr>
              <w:pStyle w:val="Prrafodelista"/>
              <w:numPr>
                <w:ilvl w:val="0"/>
                <w:numId w:val="21"/>
              </w:numPr>
              <w:spacing w:line="240" w:lineRule="auto"/>
              <w:jc w:val="both"/>
              <w:rPr>
                <w:rFonts w:eastAsia="Avenir Next LT Pro" w:cs="Avenir Next LT Pro"/>
                <w:color w:val="000000" w:themeColor="text1"/>
                <w:sz w:val="20"/>
                <w:szCs w:val="20"/>
              </w:rPr>
            </w:pPr>
            <w:r w:rsidRPr="00615CF8">
              <w:rPr>
                <w:rFonts w:eastAsia="Avenir Next LT Pro" w:cs="Avenir Next LT Pro"/>
                <w:color w:val="000000" w:themeColor="text1"/>
                <w:sz w:val="20"/>
                <w:szCs w:val="20"/>
              </w:rPr>
              <w:t>Se permitió el reconocimiento de los usos residenciales. Un punto de partida para cualquier transformación debe ser entender la situación actual (art. 243)</w:t>
            </w:r>
          </w:p>
          <w:p w14:paraId="15A4CF48" w14:textId="77777777" w:rsidR="00B10208" w:rsidRPr="00615CF8" w:rsidRDefault="00B10208" w:rsidP="00B10208">
            <w:pPr>
              <w:pStyle w:val="Prrafodelista"/>
              <w:numPr>
                <w:ilvl w:val="0"/>
                <w:numId w:val="21"/>
              </w:numPr>
              <w:spacing w:line="240" w:lineRule="auto"/>
              <w:jc w:val="both"/>
              <w:rPr>
                <w:rFonts w:eastAsia="Avenir Next LT Pro" w:cs="Avenir Next LT Pro"/>
                <w:color w:val="000000" w:themeColor="text1"/>
                <w:sz w:val="20"/>
                <w:szCs w:val="20"/>
              </w:rPr>
            </w:pPr>
            <w:r w:rsidRPr="00615CF8">
              <w:rPr>
                <w:rFonts w:eastAsia="Avenir Next LT Pro" w:cs="Avenir Next LT Pro"/>
                <w:color w:val="000000" w:themeColor="text1"/>
                <w:sz w:val="20"/>
                <w:szCs w:val="20"/>
              </w:rPr>
              <w:t xml:space="preserve">Se logró la adopción de la AEDA Engativá y se está avanzando para formular la AEDA Fontibón, fijando un marco normativo certero con una agenda de programas y proyectos para avanzar en la oferta de soportes urbanos acordes a su vocación. </w:t>
            </w:r>
          </w:p>
          <w:p w14:paraId="6EB0AFE1" w14:textId="77777777" w:rsidR="00B10208" w:rsidRPr="00615CF8" w:rsidRDefault="00B10208" w:rsidP="00B10208">
            <w:pPr>
              <w:pStyle w:val="Prrafodelista"/>
              <w:numPr>
                <w:ilvl w:val="0"/>
                <w:numId w:val="21"/>
              </w:numPr>
              <w:spacing w:line="240" w:lineRule="auto"/>
              <w:jc w:val="both"/>
              <w:rPr>
                <w:rFonts w:eastAsia="Avenir Next LT Pro" w:cs="Avenir Next LT Pro"/>
                <w:color w:val="000000" w:themeColor="text1"/>
                <w:sz w:val="20"/>
                <w:szCs w:val="20"/>
              </w:rPr>
            </w:pPr>
            <w:r w:rsidRPr="00615CF8">
              <w:rPr>
                <w:rFonts w:eastAsia="Avenir Next LT Pro" w:cs="Avenir Next LT Pro"/>
                <w:color w:val="000000" w:themeColor="text1"/>
                <w:sz w:val="20"/>
                <w:szCs w:val="20"/>
              </w:rPr>
              <w:lastRenderedPageBreak/>
              <w:t xml:space="preserve">Existe un operador urbano que debe gestionar el modelo de ciudad de estas piezas, aplicando un set de reglas específicas para su desarrollo. </w:t>
            </w:r>
          </w:p>
          <w:p w14:paraId="6DE922C0" w14:textId="6425CBAD" w:rsidR="00DF4158" w:rsidRPr="00B10208" w:rsidRDefault="00B10208" w:rsidP="00B10208">
            <w:pPr>
              <w:jc w:val="both"/>
              <w:rPr>
                <w:rFonts w:eastAsia="Avenir Next LT Pro" w:cs="Arial"/>
              </w:rPr>
            </w:pPr>
            <w:r w:rsidRPr="00615CF8">
              <w:rPr>
                <w:rFonts w:eastAsia="Avenir Next LT Pro" w:cs="Avenir Next LT Pro"/>
                <w:color w:val="000000" w:themeColor="text1"/>
                <w:sz w:val="20"/>
                <w:szCs w:val="20"/>
              </w:rPr>
              <w:t>Existe una política de protección a moradores y actividades económicas, con la que se busca facilitar acuerdos entre actores comunitarios y empresariales en los negocios inmobiliarios.</w:t>
            </w:r>
          </w:p>
        </w:tc>
        <w:tc>
          <w:tcPr>
            <w:tcW w:w="5711" w:type="dxa"/>
          </w:tcPr>
          <w:p w14:paraId="74A206BB" w14:textId="566162FD" w:rsidR="00DF4158" w:rsidRPr="00C61C08" w:rsidRDefault="00DF4158" w:rsidP="23BD7645">
            <w:pPr>
              <w:rPr>
                <w:rFonts w:eastAsia="Avenir Next LT Pro" w:cs="Arial"/>
                <w:b/>
                <w:bCs/>
                <w:sz w:val="20"/>
                <w:szCs w:val="20"/>
              </w:rPr>
            </w:pPr>
            <w:r w:rsidRPr="23BD7645">
              <w:rPr>
                <w:rFonts w:eastAsia="Avenir Next LT Pro" w:cs="Arial"/>
                <w:b/>
                <w:bCs/>
                <w:sz w:val="20"/>
                <w:szCs w:val="20"/>
              </w:rPr>
              <w:lastRenderedPageBreak/>
              <w:t>Población Afectada</w:t>
            </w:r>
          </w:p>
          <w:p w14:paraId="3819F8C2" w14:textId="77777777" w:rsidR="00795C04" w:rsidRPr="00795C04" w:rsidRDefault="00795C04" w:rsidP="00795C04">
            <w:pPr>
              <w:pStyle w:val="Prrafodelista"/>
              <w:numPr>
                <w:ilvl w:val="0"/>
                <w:numId w:val="23"/>
              </w:numPr>
              <w:spacing w:line="240" w:lineRule="auto"/>
              <w:jc w:val="both"/>
              <w:rPr>
                <w:rFonts w:eastAsia="Avenir Next LT Pro" w:cs="Arial"/>
                <w:sz w:val="20"/>
                <w:szCs w:val="20"/>
              </w:rPr>
            </w:pPr>
            <w:r w:rsidRPr="00795C04">
              <w:rPr>
                <w:rFonts w:eastAsia="Avenir Next LT Pro" w:cs="Arial"/>
                <w:sz w:val="20"/>
                <w:szCs w:val="20"/>
              </w:rPr>
              <w:t>Propietarios del suelo en la Zona de Influencia Directa Aeroportuaria (Mapa CU 5.2. del POT).</w:t>
            </w:r>
          </w:p>
          <w:p w14:paraId="5768EC30" w14:textId="77777777" w:rsidR="00795C04" w:rsidRPr="00795C04" w:rsidRDefault="00795C04" w:rsidP="00795C04">
            <w:pPr>
              <w:pStyle w:val="Prrafodelista"/>
              <w:numPr>
                <w:ilvl w:val="0"/>
                <w:numId w:val="23"/>
              </w:numPr>
              <w:spacing w:line="240" w:lineRule="auto"/>
              <w:jc w:val="both"/>
              <w:rPr>
                <w:rFonts w:eastAsia="Avenir Next LT Pro" w:cs="Arial"/>
                <w:sz w:val="20"/>
                <w:szCs w:val="20"/>
              </w:rPr>
            </w:pPr>
            <w:r w:rsidRPr="00795C04">
              <w:rPr>
                <w:rFonts w:eastAsia="Avenir Next LT Pro" w:cs="Arial"/>
                <w:sz w:val="20"/>
                <w:szCs w:val="20"/>
              </w:rPr>
              <w:t>Moradores de la Zona de Influencia Directa Aeroportuaria.</w:t>
            </w:r>
          </w:p>
          <w:p w14:paraId="6F39D2BD" w14:textId="77777777" w:rsidR="00795C04" w:rsidRPr="00795C04" w:rsidRDefault="00795C04" w:rsidP="00795C04">
            <w:pPr>
              <w:pStyle w:val="Prrafodelista"/>
              <w:numPr>
                <w:ilvl w:val="0"/>
                <w:numId w:val="23"/>
              </w:numPr>
              <w:spacing w:line="240" w:lineRule="auto"/>
              <w:jc w:val="both"/>
              <w:rPr>
                <w:rFonts w:eastAsia="Avenir Next LT Pro" w:cs="Arial"/>
                <w:sz w:val="20"/>
                <w:szCs w:val="20"/>
              </w:rPr>
            </w:pPr>
            <w:commentRangeStart w:id="14"/>
            <w:commentRangeStart w:id="15"/>
            <w:r w:rsidRPr="00795C04">
              <w:rPr>
                <w:rFonts w:eastAsia="Avenir Next LT Pro" w:cs="Arial"/>
                <w:sz w:val="20"/>
                <w:szCs w:val="20"/>
              </w:rPr>
              <w:t>Sectores empresariales asociados con las actividades aeroportuarias.</w:t>
            </w:r>
            <w:commentRangeEnd w:id="14"/>
            <w:r w:rsidR="00173BEF" w:rsidRPr="00795C04">
              <w:rPr>
                <w:rStyle w:val="Refdecomentario"/>
                <w:rFonts w:eastAsia="Avenir Next LT Pro" w:cs="Arial"/>
                <w:sz w:val="20"/>
                <w:szCs w:val="20"/>
              </w:rPr>
              <w:commentReference w:id="14"/>
            </w:r>
            <w:commentRangeEnd w:id="15"/>
            <w:r w:rsidR="00AA14DC" w:rsidRPr="00795C04">
              <w:rPr>
                <w:rStyle w:val="Refdecomentario"/>
                <w:rFonts w:eastAsia="Avenir Next LT Pro" w:cs="Arial"/>
                <w:sz w:val="20"/>
                <w:szCs w:val="20"/>
              </w:rPr>
              <w:commentReference w:id="15"/>
            </w:r>
          </w:p>
          <w:p w14:paraId="18568CAE" w14:textId="77777777" w:rsidR="00795C04" w:rsidRPr="00795C04" w:rsidRDefault="00173BEF" w:rsidP="00795C04">
            <w:pPr>
              <w:pStyle w:val="Prrafodelista"/>
              <w:numPr>
                <w:ilvl w:val="0"/>
                <w:numId w:val="23"/>
              </w:numPr>
              <w:spacing w:line="240" w:lineRule="auto"/>
              <w:jc w:val="both"/>
              <w:rPr>
                <w:rFonts w:eastAsia="Avenir Next LT Pro" w:cs="Arial"/>
                <w:sz w:val="20"/>
                <w:szCs w:val="20"/>
              </w:rPr>
            </w:pPr>
            <w:commentRangeStart w:id="16"/>
            <w:commentRangeStart w:id="17"/>
            <w:commentRangeEnd w:id="16"/>
            <w:r w:rsidRPr="00795C04">
              <w:rPr>
                <w:rStyle w:val="Refdecomentario"/>
                <w:rFonts w:eastAsia="Avenir Next LT Pro" w:cs="Arial"/>
                <w:sz w:val="20"/>
                <w:szCs w:val="20"/>
              </w:rPr>
              <w:commentReference w:id="16"/>
            </w:r>
            <w:commentRangeEnd w:id="17"/>
            <w:r w:rsidR="00AA14DC" w:rsidRPr="00795C04">
              <w:rPr>
                <w:rStyle w:val="Refdecomentario"/>
                <w:rFonts w:eastAsia="Avenir Next LT Pro" w:cs="Arial"/>
                <w:sz w:val="20"/>
                <w:szCs w:val="20"/>
              </w:rPr>
              <w:commentReference w:id="17"/>
            </w:r>
            <w:r w:rsidR="00795C04" w:rsidRPr="00795C04">
              <w:rPr>
                <w:rFonts w:eastAsia="Avenir Next LT Pro" w:cs="Arial"/>
                <w:sz w:val="20"/>
                <w:szCs w:val="20"/>
              </w:rPr>
              <w:t>Desarrolladores y Gestores inmobiliarios especializados en productos industriales y logísticos</w:t>
            </w:r>
          </w:p>
          <w:p w14:paraId="73BB633B" w14:textId="408E212D" w:rsidR="00D206AB" w:rsidRPr="005E16B3" w:rsidRDefault="00795C04" w:rsidP="23BD7645">
            <w:pPr>
              <w:jc w:val="both"/>
              <w:rPr>
                <w:rFonts w:eastAsia="Avenir Next LT Pro" w:cs="Arial"/>
                <w:sz w:val="20"/>
                <w:szCs w:val="20"/>
              </w:rPr>
            </w:pPr>
            <w:r w:rsidRPr="00795C04">
              <w:rPr>
                <w:rFonts w:eastAsia="Avenir Next LT Pro" w:cs="Arial"/>
                <w:sz w:val="20"/>
                <w:szCs w:val="20"/>
              </w:rPr>
              <w:t>Autoridades y empresas asociadas con la operación del AIED.</w:t>
            </w:r>
          </w:p>
        </w:tc>
      </w:tr>
      <w:tr w:rsidR="00DF4158" w:rsidRPr="005E16B3" w14:paraId="3566601D" w14:textId="77777777" w:rsidTr="23BD7645">
        <w:tc>
          <w:tcPr>
            <w:tcW w:w="0" w:type="auto"/>
            <w:gridSpan w:val="2"/>
          </w:tcPr>
          <w:p w14:paraId="6804F073" w14:textId="2AD81023" w:rsidR="00173BEF" w:rsidRDefault="00DF4158" w:rsidP="00173BEF">
            <w:pPr>
              <w:rPr>
                <w:rFonts w:eastAsia="Avenir Next LT Pro" w:cs="Arial"/>
              </w:rPr>
            </w:pPr>
            <w:r w:rsidRPr="00285603">
              <w:rPr>
                <w:rFonts w:eastAsia="Avenir Next LT Pro" w:cs="Arial"/>
                <w:b/>
                <w:bCs/>
                <w:sz w:val="24"/>
                <w:szCs w:val="24"/>
              </w:rPr>
              <w:t xml:space="preserve">Indicadores </w:t>
            </w:r>
            <w:r w:rsidR="00E51425">
              <w:rPr>
                <w:rFonts w:eastAsia="Avenir Next LT Pro" w:cs="Arial"/>
                <w:b/>
                <w:bCs/>
                <w:sz w:val="24"/>
                <w:szCs w:val="24"/>
              </w:rPr>
              <w:t>de</w:t>
            </w:r>
            <w:r w:rsidR="00023C95">
              <w:rPr>
                <w:rFonts w:eastAsia="Avenir Next LT Pro" w:cs="Arial"/>
                <w:b/>
                <w:bCs/>
                <w:sz w:val="24"/>
                <w:szCs w:val="24"/>
              </w:rPr>
              <w:t xml:space="preserve"> línea base </w:t>
            </w:r>
            <w:r w:rsidRPr="00285603">
              <w:rPr>
                <w:rFonts w:eastAsia="Avenir Next LT Pro" w:cs="Arial"/>
                <w:b/>
                <w:bCs/>
                <w:sz w:val="24"/>
                <w:szCs w:val="24"/>
              </w:rPr>
              <w:t>para medir los resultados</w:t>
            </w:r>
          </w:p>
          <w:p w14:paraId="7FB37E98" w14:textId="77777777" w:rsidR="00173BEF" w:rsidRPr="00173BEF" w:rsidRDefault="00173BEF" w:rsidP="00173BEF">
            <w:pPr>
              <w:pStyle w:val="Prrafodelista"/>
              <w:numPr>
                <w:ilvl w:val="0"/>
                <w:numId w:val="24"/>
              </w:numPr>
              <w:spacing w:line="240" w:lineRule="auto"/>
              <w:jc w:val="both"/>
              <w:rPr>
                <w:rFonts w:eastAsia="Avenir Next LT Pro" w:cs="Arial"/>
              </w:rPr>
            </w:pPr>
            <w:r w:rsidRPr="00173BEF">
              <w:rPr>
                <w:rFonts w:eastAsia="Avenir Next LT Pro" w:cs="Arial"/>
              </w:rPr>
              <w:t xml:space="preserve">Englobes de oportunidad consolidados= lotes potenciales englobados / total de lotes para englobe de oportunidad. </w:t>
            </w:r>
          </w:p>
          <w:p w14:paraId="240C7E4A" w14:textId="77777777" w:rsidR="00173BEF" w:rsidRPr="00173BEF" w:rsidRDefault="00173BEF" w:rsidP="00173BEF">
            <w:pPr>
              <w:pStyle w:val="Prrafodelista"/>
              <w:numPr>
                <w:ilvl w:val="0"/>
                <w:numId w:val="24"/>
              </w:numPr>
              <w:spacing w:line="240" w:lineRule="auto"/>
              <w:jc w:val="both"/>
              <w:rPr>
                <w:rFonts w:eastAsia="Avenir Next LT Pro" w:cs="Arial"/>
              </w:rPr>
            </w:pPr>
            <w:r w:rsidRPr="00173BEF">
              <w:rPr>
                <w:rFonts w:eastAsia="Avenir Next LT Pro" w:cs="Arial"/>
              </w:rPr>
              <w:t>Lotes reconvertidos en englobes de oportunidad consolidados= lotes potenciales reconvertidos en englobes de oportunidad / total de lotes para englobe de oportunidad.</w:t>
            </w:r>
          </w:p>
          <w:p w14:paraId="0E55941C" w14:textId="77777777" w:rsidR="00173BEF" w:rsidRPr="00173BEF" w:rsidRDefault="00173BEF" w:rsidP="00173BEF">
            <w:pPr>
              <w:pStyle w:val="Prrafodelista"/>
              <w:numPr>
                <w:ilvl w:val="0"/>
                <w:numId w:val="24"/>
              </w:numPr>
              <w:spacing w:line="240" w:lineRule="auto"/>
              <w:rPr>
                <w:rFonts w:eastAsia="Avenir Next LT Pro" w:cs="Arial"/>
              </w:rPr>
            </w:pPr>
            <w:r w:rsidRPr="00173BEF">
              <w:rPr>
                <w:rFonts w:eastAsia="Avenir Next LT Pro" w:cs="Arial"/>
              </w:rPr>
              <w:t xml:space="preserve">Lotes reconvertidos= lotes con cambio de uso efectivo en la ZIDA / total de lotes ZIDA. </w:t>
            </w:r>
          </w:p>
          <w:p w14:paraId="041FA4A2" w14:textId="77777777" w:rsidR="00173BEF" w:rsidRPr="00173BEF" w:rsidRDefault="00173BEF" w:rsidP="00173BEF">
            <w:pPr>
              <w:pStyle w:val="Prrafodelista"/>
              <w:numPr>
                <w:ilvl w:val="0"/>
                <w:numId w:val="24"/>
              </w:numPr>
              <w:spacing w:line="240" w:lineRule="auto"/>
              <w:rPr>
                <w:rFonts w:eastAsia="Avenir Next LT Pro" w:cs="Arial"/>
              </w:rPr>
            </w:pPr>
            <w:r w:rsidRPr="00173BEF">
              <w:rPr>
                <w:rFonts w:eastAsia="Avenir Next LT Pro" w:cs="Arial"/>
              </w:rPr>
              <w:t>Lotes reconvertidos por englobe= lotes con cambio de uso efectivo en englobados en la ZIDA / total de lotes ZIDA.</w:t>
            </w:r>
          </w:p>
          <w:p w14:paraId="4CFB7FA4" w14:textId="77777777" w:rsidR="00173BEF" w:rsidRPr="00173BEF" w:rsidRDefault="00173BEF" w:rsidP="00173BEF">
            <w:pPr>
              <w:pStyle w:val="Prrafodelista"/>
              <w:numPr>
                <w:ilvl w:val="0"/>
                <w:numId w:val="24"/>
              </w:numPr>
              <w:spacing w:line="240" w:lineRule="auto"/>
              <w:rPr>
                <w:rFonts w:eastAsia="Avenir Next LT Pro" w:cs="Arial"/>
              </w:rPr>
            </w:pPr>
            <w:r w:rsidRPr="00173BEF">
              <w:rPr>
                <w:rFonts w:eastAsia="Avenir Next LT Pro" w:cs="Arial"/>
              </w:rPr>
              <w:t>Propietarios asociados= número de propietarios participantes en proyectos asociativos / total de propietarios en englobes de oportunidad.</w:t>
            </w:r>
          </w:p>
          <w:p w14:paraId="675C9789" w14:textId="77777777" w:rsidR="00173BEF" w:rsidRPr="00173BEF" w:rsidRDefault="00173BEF" w:rsidP="00173BEF">
            <w:pPr>
              <w:pStyle w:val="Prrafodelista"/>
              <w:numPr>
                <w:ilvl w:val="0"/>
                <w:numId w:val="24"/>
              </w:numPr>
              <w:spacing w:line="240" w:lineRule="auto"/>
              <w:rPr>
                <w:rFonts w:eastAsia="Avenir Next LT Pro" w:cs="Arial"/>
              </w:rPr>
            </w:pPr>
            <w:r w:rsidRPr="00173BEF">
              <w:rPr>
                <w:rFonts w:eastAsia="Avenir Next LT Pro" w:cs="Arial"/>
              </w:rPr>
              <w:t xml:space="preserve">Concentración empresarial logística (pequeñas, medianas y grandes) = Número de empresas medianas y grandes del sector logístico ubicadas en la ZIDA / </w:t>
            </w:r>
            <w:commentRangeStart w:id="18"/>
            <w:commentRangeStart w:id="19"/>
            <w:r w:rsidRPr="00173BEF">
              <w:rPr>
                <w:rFonts w:eastAsia="Avenir Next LT Pro" w:cs="Arial"/>
              </w:rPr>
              <w:t xml:space="preserve">Total de empresas del sector logístico ubicadas en las AE * 100 </w:t>
            </w:r>
            <w:commentRangeEnd w:id="18"/>
            <w:r w:rsidRPr="00173BEF">
              <w:rPr>
                <w:rStyle w:val="Refdecomentario"/>
                <w:rFonts w:eastAsia="Avenir Next LT Pro" w:cs="Arial"/>
                <w:sz w:val="22"/>
                <w:szCs w:val="22"/>
              </w:rPr>
              <w:commentReference w:id="18"/>
            </w:r>
            <w:commentRangeEnd w:id="19"/>
            <w:r w:rsidR="00AA14DC" w:rsidRPr="00173BEF">
              <w:rPr>
                <w:rStyle w:val="Refdecomentario"/>
                <w:rFonts w:eastAsia="Avenir Next LT Pro" w:cs="Arial"/>
                <w:sz w:val="22"/>
                <w:szCs w:val="22"/>
              </w:rPr>
              <w:commentReference w:id="19"/>
            </w:r>
          </w:p>
          <w:p w14:paraId="662E3E41" w14:textId="77777777" w:rsidR="00173BEF" w:rsidRPr="00173BEF" w:rsidRDefault="00173BEF" w:rsidP="00173BEF">
            <w:pPr>
              <w:pStyle w:val="Prrafodelista"/>
              <w:numPr>
                <w:ilvl w:val="0"/>
                <w:numId w:val="24"/>
              </w:numPr>
              <w:spacing w:line="240" w:lineRule="auto"/>
              <w:rPr>
                <w:rFonts w:eastAsia="Avenir Next LT Pro" w:cs="Arial"/>
              </w:rPr>
            </w:pPr>
            <w:r w:rsidRPr="00173BEF">
              <w:rPr>
                <w:rFonts w:eastAsia="Avenir Next LT Pro" w:cs="Arial"/>
              </w:rPr>
              <w:t>Concentración empresarial industrial (pequeñas, medianas y grandes) = Número de empresas medianas y grandes del sector industrial ubicadas en la ZIDA / Total de empresas del sector industrial ubicadas en las AE * 100</w:t>
            </w:r>
          </w:p>
          <w:p w14:paraId="17173B80" w14:textId="77777777" w:rsidR="00173BEF" w:rsidRPr="00173BEF" w:rsidRDefault="00173BEF" w:rsidP="00173BEF">
            <w:pPr>
              <w:pStyle w:val="Prrafodelista"/>
              <w:numPr>
                <w:ilvl w:val="0"/>
                <w:numId w:val="24"/>
              </w:numPr>
              <w:spacing w:line="240" w:lineRule="auto"/>
              <w:rPr>
                <w:rFonts w:eastAsia="Avenir Next LT Pro" w:cs="Arial"/>
              </w:rPr>
            </w:pPr>
            <w:r w:rsidRPr="00173BEF">
              <w:rPr>
                <w:rFonts w:eastAsia="Avenir Next LT Pro" w:cs="Arial"/>
              </w:rPr>
              <w:t>Número de empresas medianas y grandes del sector logístico en la ZIDA.</w:t>
            </w:r>
          </w:p>
          <w:p w14:paraId="715268F3" w14:textId="77777777" w:rsidR="00173BEF" w:rsidRPr="00173BEF" w:rsidRDefault="00173BEF" w:rsidP="00173BEF">
            <w:pPr>
              <w:pStyle w:val="Prrafodelista"/>
              <w:numPr>
                <w:ilvl w:val="0"/>
                <w:numId w:val="24"/>
              </w:numPr>
              <w:spacing w:line="240" w:lineRule="auto"/>
              <w:rPr>
                <w:rFonts w:eastAsia="Avenir Next LT Pro" w:cs="Arial"/>
              </w:rPr>
            </w:pPr>
            <w:r w:rsidRPr="00173BEF">
              <w:rPr>
                <w:rFonts w:eastAsia="Avenir Next LT Pro" w:cs="Arial"/>
              </w:rPr>
              <w:t>Número de empresas medianas y grandes del sector industrial en la ZIDA.</w:t>
            </w:r>
          </w:p>
          <w:p w14:paraId="01912F1D" w14:textId="77777777" w:rsidR="00173BEF" w:rsidRPr="00173BEF" w:rsidRDefault="00173BEF" w:rsidP="00173BEF">
            <w:pPr>
              <w:pStyle w:val="Prrafodelista"/>
              <w:numPr>
                <w:ilvl w:val="0"/>
                <w:numId w:val="24"/>
              </w:numPr>
              <w:spacing w:line="240" w:lineRule="auto"/>
              <w:rPr>
                <w:rFonts w:eastAsia="Avenir Next LT Pro" w:cs="Arial"/>
              </w:rPr>
            </w:pPr>
            <w:r w:rsidRPr="00173BEF">
              <w:rPr>
                <w:rFonts w:eastAsia="Avenir Next LT Pro" w:cs="Arial"/>
              </w:rPr>
              <w:t xml:space="preserve">Número de proyectos inmobiliarios logístico-industriales en tipologías AAA o AA ubicados en la ZIDA / Total de proyectos inmobiliarios logístico-industriales en tipologías AAA o AA </w:t>
            </w:r>
            <w:commentRangeStart w:id="20"/>
            <w:commentRangeStart w:id="21"/>
            <w:r w:rsidRPr="00173BEF">
              <w:rPr>
                <w:rFonts w:eastAsia="Avenir Next LT Pro" w:cs="Arial"/>
              </w:rPr>
              <w:t xml:space="preserve">en las AE </w:t>
            </w:r>
            <w:commentRangeEnd w:id="20"/>
            <w:r w:rsidRPr="00173BEF">
              <w:rPr>
                <w:rStyle w:val="Refdecomentario"/>
                <w:rFonts w:eastAsia="Avenir Next LT Pro" w:cs="Arial"/>
                <w:sz w:val="22"/>
                <w:szCs w:val="22"/>
              </w:rPr>
              <w:commentReference w:id="20"/>
            </w:r>
            <w:commentRangeEnd w:id="21"/>
            <w:r w:rsidR="00AA14DC" w:rsidRPr="00173BEF">
              <w:rPr>
                <w:rStyle w:val="Refdecomentario"/>
                <w:rFonts w:eastAsia="Avenir Next LT Pro" w:cs="Arial"/>
                <w:sz w:val="22"/>
                <w:szCs w:val="22"/>
              </w:rPr>
              <w:commentReference w:id="21"/>
            </w:r>
          </w:p>
          <w:p w14:paraId="39C91053" w14:textId="77777777" w:rsidR="00173BEF" w:rsidRPr="00173BEF" w:rsidRDefault="00173BEF" w:rsidP="00173BEF">
            <w:pPr>
              <w:pStyle w:val="Prrafodelista"/>
              <w:numPr>
                <w:ilvl w:val="0"/>
                <w:numId w:val="24"/>
              </w:numPr>
              <w:spacing w:line="240" w:lineRule="auto"/>
              <w:rPr>
                <w:rFonts w:eastAsia="Avenir Next LT Pro" w:cs="Arial"/>
              </w:rPr>
            </w:pPr>
            <w:r w:rsidRPr="00173BEF">
              <w:rPr>
                <w:rFonts w:eastAsia="Avenir Next LT Pro" w:cs="Arial"/>
              </w:rPr>
              <w:t>Tasa de licenciamiento para usos logísticos e industriales = (Licencias aprobadas en la ZIDA para uso (logístico, industrial) / promedio anual de licencias aprobadas en ZIDA durante los últimos 5 años)</w:t>
            </w:r>
          </w:p>
          <w:p w14:paraId="7184211C" w14:textId="77777777" w:rsidR="00173BEF" w:rsidRPr="00173BEF" w:rsidRDefault="00173BEF" w:rsidP="00173BEF">
            <w:pPr>
              <w:pStyle w:val="Prrafodelista"/>
              <w:rPr>
                <w:rFonts w:eastAsia="Avenir Next LT Pro" w:cs="Arial"/>
              </w:rPr>
            </w:pPr>
          </w:p>
          <w:p w14:paraId="76D71C52" w14:textId="07899B9E" w:rsidR="00173BEF" w:rsidRPr="00173BEF" w:rsidRDefault="00173BEF" w:rsidP="00173BEF">
            <w:pPr>
              <w:jc w:val="both"/>
              <w:rPr>
                <w:rFonts w:eastAsia="Avenir Next LT Pro" w:cs="Arial"/>
              </w:rPr>
            </w:pPr>
            <w:r w:rsidRPr="00173BEF">
              <w:rPr>
                <w:rFonts w:eastAsia="Avenir Next LT Pro" w:cs="Arial"/>
              </w:rPr>
              <w:t>*Los indicadores cuentan con una ficha técnica que detalla la línea base y metas.</w:t>
            </w:r>
          </w:p>
        </w:tc>
      </w:tr>
      <w:tr w:rsidR="00DF4158" w:rsidRPr="005E16B3" w14:paraId="397E3880" w14:textId="77777777" w:rsidTr="00173BEF">
        <w:tc>
          <w:tcPr>
            <w:tcW w:w="5377" w:type="dxa"/>
          </w:tcPr>
          <w:p w14:paraId="1E97CF1A" w14:textId="1D221B4E" w:rsidR="00DF4158" w:rsidRPr="003C0FB5" w:rsidRDefault="00DF4158" w:rsidP="00CB73CC">
            <w:pPr>
              <w:rPr>
                <w:rFonts w:eastAsia="Avenir Next LT Pro" w:cs="Arial"/>
                <w:b/>
                <w:bCs/>
                <w:sz w:val="20"/>
                <w:szCs w:val="20"/>
              </w:rPr>
            </w:pPr>
            <w:r w:rsidRPr="003C0FB5">
              <w:rPr>
                <w:rFonts w:eastAsia="Avenir Next LT Pro" w:cs="Arial"/>
                <w:b/>
                <w:bCs/>
                <w:sz w:val="20"/>
                <w:szCs w:val="20"/>
              </w:rPr>
              <w:t>Impactos o resultados esperados</w:t>
            </w:r>
          </w:p>
          <w:p w14:paraId="04E20E6E" w14:textId="77777777" w:rsidR="001107D6" w:rsidRPr="003C0FB5" w:rsidRDefault="001107D6" w:rsidP="001107D6">
            <w:pPr>
              <w:rPr>
                <w:rFonts w:eastAsia="Avenir Next LT Pro" w:cs="Avenir Next LT Pro"/>
                <w:b/>
                <w:bCs/>
                <w:sz w:val="20"/>
                <w:szCs w:val="20"/>
              </w:rPr>
            </w:pPr>
          </w:p>
          <w:p w14:paraId="0737E3A3" w14:textId="77777777" w:rsidR="001107D6" w:rsidRPr="003C0FB5" w:rsidRDefault="001107D6" w:rsidP="001107D6">
            <w:pPr>
              <w:jc w:val="both"/>
              <w:rPr>
                <w:rFonts w:eastAsia="Avenir Next LT Pro" w:cs="Avenir Next LT Pro"/>
                <w:b/>
                <w:bCs/>
                <w:color w:val="000000" w:themeColor="text1"/>
                <w:sz w:val="20"/>
                <w:szCs w:val="20"/>
              </w:rPr>
            </w:pPr>
            <w:r w:rsidRPr="003C0FB5">
              <w:rPr>
                <w:rFonts w:eastAsia="Avenir Next LT Pro" w:cs="Avenir Next LT Pro"/>
                <w:b/>
                <w:bCs/>
                <w:color w:val="000000" w:themeColor="text1"/>
                <w:sz w:val="20"/>
                <w:szCs w:val="20"/>
              </w:rPr>
              <w:t>Englobes consolidados</w:t>
            </w:r>
          </w:p>
          <w:p w14:paraId="6F504103" w14:textId="7BB1117D" w:rsidR="001107D6" w:rsidRPr="003C0FB5" w:rsidRDefault="001107D6" w:rsidP="001107D6">
            <w:pPr>
              <w:jc w:val="both"/>
              <w:rPr>
                <w:rFonts w:eastAsia="Avenir Next LT Pro" w:cs="Avenir Next LT Pro"/>
                <w:b/>
                <w:bCs/>
                <w:color w:val="000000" w:themeColor="text1"/>
                <w:sz w:val="20"/>
                <w:szCs w:val="20"/>
              </w:rPr>
            </w:pPr>
            <w:r w:rsidRPr="003C0FB5">
              <w:rPr>
                <w:rFonts w:eastAsia="Avenir Next LT Pro" w:cs="Avenir Next LT Pro"/>
                <w:color w:val="000000" w:themeColor="text1"/>
                <w:sz w:val="20"/>
                <w:szCs w:val="20"/>
              </w:rPr>
              <w:t>Habilitación de suelo a escala de englobes de oportunidad que permite estructurar proyectos productivos en áreas previamente fragmentadas.</w:t>
            </w:r>
          </w:p>
          <w:p w14:paraId="74DB12FD" w14:textId="77777777" w:rsidR="001107D6" w:rsidRPr="003C0FB5" w:rsidRDefault="001107D6" w:rsidP="001107D6">
            <w:pPr>
              <w:jc w:val="both"/>
              <w:rPr>
                <w:rFonts w:eastAsia="Avenir Next LT Pro" w:cs="Avenir Next LT Pro"/>
                <w:color w:val="000000" w:themeColor="text1"/>
                <w:sz w:val="20"/>
                <w:szCs w:val="20"/>
              </w:rPr>
            </w:pPr>
          </w:p>
          <w:p w14:paraId="13745A57" w14:textId="77777777" w:rsidR="001107D6" w:rsidRPr="003C0FB5" w:rsidRDefault="001107D6" w:rsidP="001107D6">
            <w:pPr>
              <w:jc w:val="both"/>
              <w:rPr>
                <w:rFonts w:eastAsia="Avenir Next LT Pro" w:cs="Avenir Next LT Pro"/>
                <w:color w:val="000000" w:themeColor="text1"/>
                <w:sz w:val="20"/>
                <w:szCs w:val="20"/>
              </w:rPr>
            </w:pPr>
            <w:r w:rsidRPr="003C0FB5">
              <w:rPr>
                <w:rFonts w:eastAsia="Avenir Next LT Pro" w:cs="Avenir Next LT Pro"/>
                <w:b/>
                <w:bCs/>
                <w:color w:val="000000" w:themeColor="text1"/>
                <w:sz w:val="20"/>
                <w:szCs w:val="20"/>
              </w:rPr>
              <w:t>Propietarios asociados</w:t>
            </w:r>
          </w:p>
          <w:p w14:paraId="71BA7AC4" w14:textId="30DB6DF9" w:rsidR="001107D6" w:rsidRPr="003C0FB5" w:rsidRDefault="001107D6" w:rsidP="001107D6">
            <w:pPr>
              <w:jc w:val="both"/>
              <w:rPr>
                <w:rFonts w:eastAsia="Avenir Next LT Pro" w:cs="Avenir Next LT Pro"/>
                <w:color w:val="000000" w:themeColor="text1"/>
                <w:sz w:val="20"/>
                <w:szCs w:val="20"/>
              </w:rPr>
            </w:pPr>
            <w:r w:rsidRPr="003C0FB5">
              <w:rPr>
                <w:rFonts w:eastAsia="Avenir Next LT Pro" w:cs="Avenir Next LT Pro"/>
                <w:color w:val="000000" w:themeColor="text1"/>
                <w:sz w:val="20"/>
                <w:szCs w:val="20"/>
              </w:rPr>
              <w:t>Participación activa de los moradores en esquemas asociativos, generando confianza y corresponsabilidad en los procesos de transformación urbana y promoviendo la habilitación de suelo para la reconversión.</w:t>
            </w:r>
          </w:p>
          <w:p w14:paraId="1A04B621" w14:textId="77777777" w:rsidR="001107D6" w:rsidRPr="003C0FB5" w:rsidRDefault="001107D6" w:rsidP="001107D6">
            <w:pPr>
              <w:rPr>
                <w:rFonts w:eastAsia="Avenir Next LT Pro" w:cs="Avenir Next LT Pro"/>
                <w:color w:val="000000" w:themeColor="text1"/>
                <w:sz w:val="20"/>
                <w:szCs w:val="20"/>
              </w:rPr>
            </w:pPr>
          </w:p>
          <w:p w14:paraId="1E09E3E1" w14:textId="77777777" w:rsidR="001107D6" w:rsidRPr="003C0FB5" w:rsidRDefault="001107D6" w:rsidP="001107D6">
            <w:pPr>
              <w:jc w:val="both"/>
              <w:rPr>
                <w:rFonts w:eastAsia="Avenir Next LT Pro" w:cs="Avenir Next LT Pro"/>
                <w:b/>
                <w:bCs/>
                <w:color w:val="000000" w:themeColor="text1"/>
                <w:sz w:val="20"/>
                <w:szCs w:val="20"/>
              </w:rPr>
            </w:pPr>
            <w:r w:rsidRPr="003C0FB5">
              <w:rPr>
                <w:rFonts w:eastAsia="Avenir Next LT Pro" w:cs="Avenir Next LT Pro"/>
                <w:b/>
                <w:bCs/>
                <w:color w:val="000000" w:themeColor="text1"/>
                <w:sz w:val="20"/>
                <w:szCs w:val="20"/>
              </w:rPr>
              <w:t>Concentración empresarial logística</w:t>
            </w:r>
          </w:p>
          <w:p w14:paraId="41CBCC75" w14:textId="251A6CC6" w:rsidR="001107D6" w:rsidRPr="003C0FB5" w:rsidRDefault="001107D6" w:rsidP="001107D6">
            <w:pPr>
              <w:jc w:val="both"/>
              <w:rPr>
                <w:rFonts w:eastAsia="Avenir Next LT Pro" w:cs="Avenir Next LT Pro"/>
                <w:sz w:val="20"/>
                <w:szCs w:val="20"/>
              </w:rPr>
            </w:pPr>
            <w:r w:rsidRPr="003C0FB5">
              <w:rPr>
                <w:rFonts w:eastAsia="Avenir Next LT Pro" w:cs="Avenir Next LT Pro"/>
                <w:sz w:val="20"/>
                <w:szCs w:val="20"/>
              </w:rPr>
              <w:t>Posicionamiento progresivo de la ZIDA como nodo atractivo para empresas logísticas, especialmente medianas y grandes, fortaleciendo el rol de Bogotá en cadenas logísticas regionales.</w:t>
            </w:r>
          </w:p>
          <w:p w14:paraId="426F6E62" w14:textId="77777777" w:rsidR="001107D6" w:rsidRPr="003C0FB5" w:rsidRDefault="001107D6" w:rsidP="001107D6">
            <w:pPr>
              <w:rPr>
                <w:rFonts w:eastAsia="Avenir Next LT Pro" w:cs="Avenir Next LT Pro"/>
                <w:sz w:val="20"/>
                <w:szCs w:val="20"/>
              </w:rPr>
            </w:pPr>
          </w:p>
          <w:p w14:paraId="7BA84FDB" w14:textId="77777777" w:rsidR="001107D6" w:rsidRPr="003C0FB5" w:rsidRDefault="001107D6" w:rsidP="001107D6">
            <w:pPr>
              <w:jc w:val="both"/>
              <w:rPr>
                <w:rFonts w:eastAsia="Avenir Next LT Pro" w:cs="Avenir Next LT Pro"/>
                <w:b/>
                <w:bCs/>
                <w:sz w:val="20"/>
                <w:szCs w:val="20"/>
              </w:rPr>
            </w:pPr>
            <w:r w:rsidRPr="003C0FB5">
              <w:rPr>
                <w:rFonts w:eastAsia="Avenir Next LT Pro" w:cs="Avenir Next LT Pro"/>
                <w:b/>
                <w:bCs/>
                <w:sz w:val="20"/>
                <w:szCs w:val="20"/>
              </w:rPr>
              <w:lastRenderedPageBreak/>
              <w:t>Concentración empresarial industrial</w:t>
            </w:r>
          </w:p>
          <w:p w14:paraId="47EA8330" w14:textId="39954698" w:rsidR="001107D6" w:rsidRPr="003C0FB5" w:rsidRDefault="001107D6" w:rsidP="001107D6">
            <w:pPr>
              <w:jc w:val="both"/>
              <w:rPr>
                <w:rFonts w:eastAsia="Avenir Next LT Pro" w:cs="Avenir Next LT Pro"/>
                <w:sz w:val="20"/>
                <w:szCs w:val="20"/>
              </w:rPr>
            </w:pPr>
            <w:r w:rsidRPr="003C0FB5">
              <w:rPr>
                <w:rFonts w:eastAsia="Avenir Next LT Pro" w:cs="Avenir Next LT Pro"/>
                <w:sz w:val="20"/>
                <w:szCs w:val="20"/>
              </w:rPr>
              <w:t>Aumento en la presencia de manufacturas acordes con la visión económica de ciudad que contribuyen a la diversificación económica y al aprovechamiento de sinergias con el aeropuerto.</w:t>
            </w:r>
          </w:p>
          <w:p w14:paraId="0AB79D43" w14:textId="77777777" w:rsidR="001107D6" w:rsidRPr="003C0FB5" w:rsidRDefault="001107D6" w:rsidP="001107D6">
            <w:pPr>
              <w:rPr>
                <w:rFonts w:eastAsia="Avenir Next LT Pro" w:cs="Avenir Next LT Pro"/>
                <w:sz w:val="20"/>
                <w:szCs w:val="20"/>
              </w:rPr>
            </w:pPr>
          </w:p>
          <w:p w14:paraId="636DB5F3" w14:textId="77777777" w:rsidR="001107D6" w:rsidRPr="003C0FB5" w:rsidRDefault="001107D6" w:rsidP="001107D6">
            <w:pPr>
              <w:jc w:val="both"/>
              <w:rPr>
                <w:rFonts w:eastAsia="Avenir Next LT Pro" w:cs="Avenir Next LT Pro"/>
                <w:b/>
                <w:bCs/>
                <w:sz w:val="20"/>
                <w:szCs w:val="20"/>
              </w:rPr>
            </w:pPr>
            <w:r w:rsidRPr="003C0FB5">
              <w:rPr>
                <w:rFonts w:eastAsia="Avenir Next LT Pro" w:cs="Avenir Next LT Pro"/>
                <w:b/>
                <w:bCs/>
                <w:sz w:val="20"/>
                <w:szCs w:val="20"/>
              </w:rPr>
              <w:t>Proyectos inmobiliarios logístico-industriales AAA o AA</w:t>
            </w:r>
          </w:p>
          <w:p w14:paraId="7B26AB08" w14:textId="02EA2890" w:rsidR="008D0F95" w:rsidRPr="003C0FB5" w:rsidRDefault="001107D6" w:rsidP="001107D6">
            <w:pPr>
              <w:jc w:val="both"/>
              <w:rPr>
                <w:rFonts w:eastAsia="Avenir Next LT Pro" w:cs="Arial"/>
                <w:sz w:val="20"/>
                <w:szCs w:val="20"/>
              </w:rPr>
            </w:pPr>
            <w:r w:rsidRPr="003C0FB5">
              <w:rPr>
                <w:rFonts w:eastAsia="Avenir Next LT Pro" w:cs="Avenir Next LT Pro"/>
                <w:sz w:val="20"/>
                <w:szCs w:val="20"/>
              </w:rPr>
              <w:t>Mejora en la calidad del entorno construido productivo, con infraestructura que responde a estándares internacionales de operación logística e industrial y se posiciona frente a los demás submercados de competencia</w:t>
            </w:r>
          </w:p>
          <w:p w14:paraId="1A64E812" w14:textId="57740581" w:rsidR="00E871DD" w:rsidRPr="00E871DD" w:rsidRDefault="00E871DD" w:rsidP="00E871DD">
            <w:pPr>
              <w:pStyle w:val="Prrafodelista"/>
              <w:spacing w:line="240" w:lineRule="auto"/>
              <w:rPr>
                <w:rFonts w:eastAsia="Avenir Next LT Pro" w:cs="Arial"/>
              </w:rPr>
            </w:pPr>
          </w:p>
        </w:tc>
        <w:tc>
          <w:tcPr>
            <w:tcW w:w="5711" w:type="dxa"/>
          </w:tcPr>
          <w:p w14:paraId="2C27B655" w14:textId="77777777" w:rsidR="00DF4158" w:rsidRDefault="00DF4158" w:rsidP="00CB73CC">
            <w:pPr>
              <w:rPr>
                <w:rFonts w:eastAsia="Avenir Next LT Pro" w:cs="Arial"/>
                <w:b/>
                <w:bCs/>
                <w:sz w:val="20"/>
                <w:szCs w:val="20"/>
              </w:rPr>
            </w:pPr>
            <w:r w:rsidRPr="003C0FB5">
              <w:rPr>
                <w:rFonts w:eastAsia="Avenir Next LT Pro" w:cs="Arial"/>
                <w:b/>
                <w:bCs/>
                <w:sz w:val="20"/>
                <w:szCs w:val="20"/>
              </w:rPr>
              <w:lastRenderedPageBreak/>
              <w:t>Público objetivo o usuarios potenciales</w:t>
            </w:r>
          </w:p>
          <w:p w14:paraId="4F784E90" w14:textId="77777777" w:rsidR="0018308C" w:rsidRPr="003C0FB5" w:rsidRDefault="0018308C" w:rsidP="00CB73CC">
            <w:pPr>
              <w:rPr>
                <w:rFonts w:eastAsia="Avenir Next LT Pro" w:cs="Arial"/>
                <w:b/>
                <w:bCs/>
                <w:sz w:val="20"/>
                <w:szCs w:val="20"/>
              </w:rPr>
            </w:pPr>
          </w:p>
          <w:p w14:paraId="7EF75D54" w14:textId="77777777" w:rsidR="00FD6D64" w:rsidRPr="00FD6D64" w:rsidRDefault="00FD6D64" w:rsidP="00FD6D64">
            <w:pPr>
              <w:pStyle w:val="Prrafodelista"/>
              <w:numPr>
                <w:ilvl w:val="0"/>
                <w:numId w:val="25"/>
              </w:numPr>
              <w:spacing w:line="240" w:lineRule="auto"/>
              <w:rPr>
                <w:rFonts w:eastAsia="Avenir Next LT Pro" w:cs="Avenir Next LT Pro"/>
                <w:sz w:val="20"/>
                <w:szCs w:val="20"/>
              </w:rPr>
            </w:pPr>
            <w:r w:rsidRPr="00FD6D64">
              <w:rPr>
                <w:rFonts w:eastAsia="Avenir Next LT Pro" w:cs="Avenir Next LT Pro"/>
                <w:sz w:val="20"/>
                <w:szCs w:val="20"/>
              </w:rPr>
              <w:t>Propietarios del suelo en la ZIDA</w:t>
            </w:r>
          </w:p>
          <w:p w14:paraId="72C456CC" w14:textId="77777777" w:rsidR="00FD6D64" w:rsidRPr="00FD6D64" w:rsidRDefault="00FD6D64" w:rsidP="00FD6D64">
            <w:pPr>
              <w:pStyle w:val="Prrafodelista"/>
              <w:numPr>
                <w:ilvl w:val="0"/>
                <w:numId w:val="26"/>
              </w:numPr>
              <w:spacing w:line="240" w:lineRule="auto"/>
              <w:rPr>
                <w:rFonts w:eastAsia="Avenir Next LT Pro" w:cs="Avenir Next LT Pro"/>
                <w:sz w:val="20"/>
                <w:szCs w:val="20"/>
              </w:rPr>
            </w:pPr>
            <w:r w:rsidRPr="00FD6D64">
              <w:rPr>
                <w:rFonts w:eastAsia="Avenir Next LT Pro" w:cs="Avenir Next LT Pro"/>
                <w:sz w:val="20"/>
                <w:szCs w:val="20"/>
              </w:rPr>
              <w:t xml:space="preserve">Empresario </w:t>
            </w:r>
          </w:p>
          <w:p w14:paraId="7142D6E7" w14:textId="77777777" w:rsidR="00FD6D64" w:rsidRPr="00FD6D64" w:rsidRDefault="00FD6D64" w:rsidP="00FD6D64">
            <w:pPr>
              <w:pStyle w:val="Prrafodelista"/>
              <w:numPr>
                <w:ilvl w:val="0"/>
                <w:numId w:val="26"/>
              </w:numPr>
              <w:spacing w:line="240" w:lineRule="auto"/>
              <w:rPr>
                <w:rFonts w:eastAsia="Avenir Next LT Pro" w:cs="Avenir Next LT Pro"/>
                <w:sz w:val="20"/>
                <w:szCs w:val="20"/>
              </w:rPr>
            </w:pPr>
            <w:r w:rsidRPr="00FD6D64">
              <w:rPr>
                <w:rFonts w:eastAsia="Avenir Next LT Pro" w:cs="Avenir Next LT Pro"/>
                <w:sz w:val="20"/>
                <w:szCs w:val="20"/>
              </w:rPr>
              <w:t xml:space="preserve">Inversionista </w:t>
            </w:r>
          </w:p>
          <w:p w14:paraId="2C3B536E" w14:textId="77777777" w:rsidR="00FD6D64" w:rsidRPr="00FD6D64" w:rsidRDefault="00FD6D64" w:rsidP="00FD6D64">
            <w:pPr>
              <w:pStyle w:val="Prrafodelista"/>
              <w:numPr>
                <w:ilvl w:val="0"/>
                <w:numId w:val="26"/>
              </w:numPr>
              <w:spacing w:line="240" w:lineRule="auto"/>
              <w:rPr>
                <w:rFonts w:eastAsia="Avenir Next LT Pro" w:cs="Avenir Next LT Pro"/>
                <w:sz w:val="20"/>
                <w:szCs w:val="20"/>
              </w:rPr>
            </w:pPr>
            <w:r w:rsidRPr="00FD6D64">
              <w:rPr>
                <w:rFonts w:eastAsia="Avenir Next LT Pro" w:cs="Avenir Next LT Pro"/>
                <w:sz w:val="20"/>
                <w:szCs w:val="20"/>
              </w:rPr>
              <w:t>Administración financiera (fiducia)</w:t>
            </w:r>
          </w:p>
          <w:p w14:paraId="7AFC7202" w14:textId="77777777" w:rsidR="00FD6D64" w:rsidRPr="00FD6D64" w:rsidRDefault="00FD6D64" w:rsidP="00FD6D64">
            <w:pPr>
              <w:pStyle w:val="Prrafodelista"/>
              <w:numPr>
                <w:ilvl w:val="0"/>
                <w:numId w:val="26"/>
              </w:numPr>
              <w:spacing w:line="240" w:lineRule="auto"/>
              <w:rPr>
                <w:rFonts w:eastAsia="Avenir Next LT Pro" w:cs="Avenir Next LT Pro"/>
                <w:sz w:val="20"/>
                <w:szCs w:val="20"/>
              </w:rPr>
            </w:pPr>
            <w:r w:rsidRPr="00FD6D64">
              <w:rPr>
                <w:rFonts w:eastAsia="Avenir Next LT Pro" w:cs="Avenir Next LT Pro"/>
                <w:sz w:val="20"/>
                <w:szCs w:val="20"/>
              </w:rPr>
              <w:t>Promotores / Gestor inmobiliario</w:t>
            </w:r>
          </w:p>
          <w:p w14:paraId="7C564ADF" w14:textId="77777777" w:rsidR="00FD6D64" w:rsidRDefault="00FD6D64" w:rsidP="00FD6D64">
            <w:pPr>
              <w:pStyle w:val="Prrafodelista"/>
              <w:numPr>
                <w:ilvl w:val="0"/>
                <w:numId w:val="26"/>
              </w:numPr>
              <w:spacing w:line="240" w:lineRule="auto"/>
              <w:rPr>
                <w:rFonts w:eastAsia="Avenir Next LT Pro" w:cs="Avenir Next LT Pro"/>
                <w:sz w:val="20"/>
                <w:szCs w:val="20"/>
              </w:rPr>
            </w:pPr>
            <w:r w:rsidRPr="00FD6D64">
              <w:rPr>
                <w:rFonts w:eastAsia="Avenir Next LT Pro" w:cs="Avenir Next LT Pro"/>
                <w:sz w:val="20"/>
                <w:szCs w:val="20"/>
              </w:rPr>
              <w:t>Constructor</w:t>
            </w:r>
          </w:p>
          <w:p w14:paraId="69B0AA32" w14:textId="2599120D" w:rsidR="00FD6D64" w:rsidRPr="00FD6D64" w:rsidRDefault="00FD6D64" w:rsidP="00FD6D64">
            <w:pPr>
              <w:pStyle w:val="Prrafodelista"/>
              <w:numPr>
                <w:ilvl w:val="0"/>
                <w:numId w:val="26"/>
              </w:numPr>
              <w:spacing w:line="240" w:lineRule="auto"/>
              <w:rPr>
                <w:rFonts w:eastAsia="Avenir Next LT Pro" w:cs="Avenir Next LT Pro"/>
                <w:sz w:val="20"/>
                <w:szCs w:val="20"/>
              </w:rPr>
            </w:pPr>
            <w:r w:rsidRPr="00FD6D64">
              <w:rPr>
                <w:rFonts w:eastAsia="Avenir Next LT Pro" w:cs="Avenir Next LT Pro"/>
                <w:sz w:val="20"/>
                <w:szCs w:val="20"/>
              </w:rPr>
              <w:t>Desarrollador</w:t>
            </w:r>
          </w:p>
        </w:tc>
      </w:tr>
      <w:tr w:rsidR="00DF4158" w:rsidRPr="005E16B3" w14:paraId="08EC324F" w14:textId="77777777" w:rsidTr="23BD7645">
        <w:tc>
          <w:tcPr>
            <w:tcW w:w="0" w:type="auto"/>
            <w:gridSpan w:val="2"/>
          </w:tcPr>
          <w:p w14:paraId="642C5DFB" w14:textId="77777777" w:rsidR="006362B9" w:rsidRDefault="00DF4158" w:rsidP="006362B9">
            <w:pPr>
              <w:rPr>
                <w:rFonts w:eastAsia="Avenir Next LT Pro" w:cs="Arial"/>
                <w:b/>
                <w:bCs/>
                <w:sz w:val="24"/>
                <w:szCs w:val="24"/>
              </w:rPr>
            </w:pPr>
            <w:r w:rsidRPr="000450CF">
              <w:rPr>
                <w:rFonts w:eastAsia="Avenir Next LT Pro" w:cs="Arial"/>
                <w:b/>
                <w:bCs/>
                <w:sz w:val="24"/>
                <w:szCs w:val="24"/>
              </w:rPr>
              <w:lastRenderedPageBreak/>
              <w:t>Requisitos y lineamientos de la solución</w:t>
            </w:r>
          </w:p>
          <w:p w14:paraId="4B91B9BD" w14:textId="32CAA641" w:rsidR="00503887" w:rsidRDefault="0057131E" w:rsidP="00503887">
            <w:pPr>
              <w:jc w:val="both"/>
              <w:rPr>
                <w:rFonts w:eastAsia="Avenir Next LT Pro" w:cs="Avenir Next LT Pro"/>
              </w:rPr>
            </w:pPr>
            <w:r w:rsidRPr="006362B9">
              <w:rPr>
                <w:rFonts w:eastAsia="Avenir Next LT Pro" w:cs="Avenir Next LT Pro"/>
              </w:rPr>
              <w:t>Se espera el desarrollo de una solución tecnológica basada en software de código abierto (open source) en nivel de desarrollo TRL5, que debe demostrar un prototipo tecnológico cuyo nivel de desarrollo permita obtener elementos básicos integrados similares a su aplicación final, con funcionalidad y operatividad aún dentro del laboratorio.</w:t>
            </w:r>
          </w:p>
          <w:p w14:paraId="2567394E" w14:textId="77777777" w:rsidR="00503887" w:rsidRPr="006362B9" w:rsidRDefault="00503887" w:rsidP="00503887">
            <w:pPr>
              <w:jc w:val="both"/>
              <w:rPr>
                <w:rFonts w:eastAsia="Avenir Next LT Pro" w:cs="Avenir Next LT Pro"/>
              </w:rPr>
            </w:pPr>
          </w:p>
          <w:p w14:paraId="08DC4A79" w14:textId="089A6DAE" w:rsidR="0057131E" w:rsidRDefault="0057131E" w:rsidP="00503887">
            <w:pPr>
              <w:ind w:left="708" w:hanging="708"/>
              <w:jc w:val="both"/>
              <w:rPr>
                <w:rFonts w:eastAsia="Avenir Next LT Pro" w:cs="Avenir Next LT Pro"/>
              </w:rPr>
            </w:pPr>
            <w:r w:rsidRPr="006362B9">
              <w:rPr>
                <w:rFonts w:eastAsia="Avenir Next LT Pro" w:cs="Avenir Next LT Pro"/>
              </w:rPr>
              <w:t>El objetivo principal en TRL5 es comprobar la viabilidad de la herramienta bajo condiciones experimentales representativas,</w:t>
            </w:r>
            <w:r w:rsidR="00435978">
              <w:rPr>
                <w:rFonts w:eastAsia="Avenir Next LT Pro" w:cs="Avenir Next LT Pro"/>
              </w:rPr>
              <w:t xml:space="preserve"> </w:t>
            </w:r>
            <w:r w:rsidRPr="006362B9">
              <w:rPr>
                <w:rFonts w:eastAsia="Avenir Next LT Pro" w:cs="Avenir Next LT Pro"/>
              </w:rPr>
              <w:t xml:space="preserve">asegurando que pueda evolucionar en fases posteriores hacia mayores niveles de maduración tecnológica. De igual forma, debe contar con documentación, materiales de soporte y trasferencia de conocimiento, facilitando su transición para el uso en la SDP. </w:t>
            </w:r>
          </w:p>
          <w:p w14:paraId="07286B4B" w14:textId="77777777" w:rsidR="00503887" w:rsidRPr="00435978" w:rsidRDefault="00503887" w:rsidP="00503887">
            <w:pPr>
              <w:ind w:left="708" w:hanging="708"/>
              <w:jc w:val="both"/>
              <w:rPr>
                <w:rFonts w:eastAsia="Avenir Next LT Pro" w:cs="Avenir Next LT Pro"/>
              </w:rPr>
            </w:pPr>
          </w:p>
          <w:p w14:paraId="0621B291" w14:textId="77777777" w:rsidR="0057131E" w:rsidRPr="006362B9" w:rsidRDefault="0057131E" w:rsidP="00503887">
            <w:pPr>
              <w:jc w:val="both"/>
            </w:pPr>
            <w:r w:rsidRPr="006362B9">
              <w:rPr>
                <w:rFonts w:eastAsia="Avenir Next LT Pro" w:cs="Avenir Next LT Pro"/>
              </w:rPr>
              <w:t xml:space="preserve">La siguiente descripción constituye de manera general lo que se espera de las soluciones propuestas para el reto: </w:t>
            </w:r>
          </w:p>
          <w:p w14:paraId="55CC1767" w14:textId="77777777" w:rsidR="0057131E" w:rsidRPr="006362B9" w:rsidRDefault="0057131E" w:rsidP="00503887">
            <w:pPr>
              <w:pStyle w:val="Prrafodelista"/>
              <w:numPr>
                <w:ilvl w:val="0"/>
                <w:numId w:val="27"/>
              </w:numPr>
              <w:spacing w:line="240" w:lineRule="auto"/>
              <w:jc w:val="both"/>
              <w:rPr>
                <w:rFonts w:eastAsia="Avenir Next LT Pro" w:cs="Avenir Next LT Pro"/>
              </w:rPr>
            </w:pPr>
            <w:r w:rsidRPr="006362B9">
              <w:rPr>
                <w:rFonts w:eastAsia="Avenir Next LT Pro" w:cs="Avenir Next LT Pro"/>
              </w:rPr>
              <w:t xml:space="preserve">Se espera que la solución incorpore elementos de simulación, análisis espacial (GIS) y emparejamiento que sirvan para experimentar la coherencia técnica y operativa de los posibles escenarios de reconversión urbana. Para esto, es necesario contemplar la Zona de Influencia Directa Aeroportuaria (ZIDA) como referencial inicial, al igual que con otros casos de prueba que pudieran enriquecer la exploración, sin necesidad aún de operación en tiempo real ni cobertura total. </w:t>
            </w:r>
          </w:p>
          <w:p w14:paraId="11AAA323" w14:textId="77777777" w:rsidR="0057131E" w:rsidRPr="006362B9" w:rsidRDefault="0057131E" w:rsidP="00503887">
            <w:pPr>
              <w:pStyle w:val="Prrafodelista"/>
              <w:numPr>
                <w:ilvl w:val="0"/>
                <w:numId w:val="27"/>
              </w:numPr>
              <w:spacing w:line="240" w:lineRule="auto"/>
              <w:jc w:val="both"/>
              <w:rPr>
                <w:rFonts w:eastAsia="Avenir Next LT Pro" w:cs="Avenir Next LT Pro"/>
              </w:rPr>
            </w:pPr>
            <w:r w:rsidRPr="006362B9">
              <w:rPr>
                <w:rFonts w:eastAsia="Avenir Next LT Pro" w:cs="Avenir Next LT Pro"/>
              </w:rPr>
              <w:t xml:space="preserve">Así mismo, se busca que a través de la solución se logren representar posibles interacciones o simulaciones entre los usuarios (moradores propietarios de los predios y empresarios), tomando en cuenta variables normativas, económicas, técnicas y sociales, de tal forma que se logren identificar posibles escenarios de asociación que resulten exitosos. Es necesario precisar, que el objetivo es que la solución contribuya a que el suelo de la ZIDA se reconvierta en usos económicos afines con la actividad aeroportuaria, por lo cual, es fundamental tomar en cuenta este aspecto en las posibles interacciones que se simulen. </w:t>
            </w:r>
          </w:p>
          <w:p w14:paraId="5A412B96" w14:textId="77777777" w:rsidR="0057131E" w:rsidRPr="006362B9" w:rsidRDefault="0057131E" w:rsidP="00503887">
            <w:pPr>
              <w:pStyle w:val="Prrafodelista"/>
              <w:numPr>
                <w:ilvl w:val="0"/>
                <w:numId w:val="27"/>
              </w:numPr>
              <w:spacing w:line="240" w:lineRule="auto"/>
              <w:jc w:val="both"/>
              <w:rPr>
                <w:rFonts w:eastAsia="Avenir Next LT Pro" w:cs="Avenir Next LT Pro"/>
              </w:rPr>
            </w:pPr>
            <w:r w:rsidRPr="006362B9">
              <w:rPr>
                <w:rFonts w:eastAsia="Avenir Next LT Pro" w:cs="Avenir Next LT Pro"/>
              </w:rPr>
              <w:t xml:space="preserve">El objetivo es que, a través de las simulaciones de escenarios e interacciones, se construya un catálogo de oportunidades de asociatividad y participación entre los actores del territorio. Para ello, la SDP pondrá a disposición la información normativa y los lineamientos vigentes, que deberán ser tomados como referencia. No obstante, se espera que la solución desarrollada no limite este catálogo a un repositorio estático, sino que funcione como un instrumento dinámico, capaz de incorporar nueva información y de modelar con ella escenarios adicionales que enriquezcan y mejoren los escenarios propuestos. </w:t>
            </w:r>
          </w:p>
          <w:p w14:paraId="11320A56" w14:textId="77777777" w:rsidR="0057131E" w:rsidRPr="006362B9" w:rsidRDefault="0057131E" w:rsidP="00503887">
            <w:pPr>
              <w:pStyle w:val="Prrafodelista"/>
              <w:numPr>
                <w:ilvl w:val="0"/>
                <w:numId w:val="27"/>
              </w:numPr>
              <w:spacing w:line="240" w:lineRule="auto"/>
              <w:jc w:val="both"/>
              <w:rPr>
                <w:rFonts w:eastAsia="Avenir Next LT Pro" w:cs="Avenir Next LT Pro"/>
              </w:rPr>
            </w:pPr>
            <w:r w:rsidRPr="006362B9">
              <w:rPr>
                <w:rFonts w:eastAsia="Avenir Next LT Pro" w:cs="Avenir Next LT Pro"/>
              </w:rPr>
              <w:t xml:space="preserve">La solución se alimentará inicialmente de información institucional y secundaria (BDGC de la SDP, SINUPOT, Registro Social, SEGPLAN, SEGPOT, entre otros), pero con un uso restringido a datasets de prueba y entornos de simulación. Se prevé también la integración de datos obtenidos en espacios de participación colectivos e individuales, que pueden ser utilizados para validar supuestos y afinar variables específicas. En esta fase, el prototipo se enmarcará en la cartografía y normativa establecida en el POT 555 de 2021 y en la reglamentación de las Actuaciones Estratégicas, de modo que las simulaciones consideren las condiciones legales, territoriales y de planeación vigentes. </w:t>
            </w:r>
          </w:p>
          <w:p w14:paraId="47C34DD9" w14:textId="77777777" w:rsidR="0057131E" w:rsidRPr="006362B9" w:rsidRDefault="0057131E" w:rsidP="00503887">
            <w:pPr>
              <w:pStyle w:val="Prrafodelista"/>
              <w:numPr>
                <w:ilvl w:val="0"/>
                <w:numId w:val="27"/>
              </w:numPr>
              <w:spacing w:line="240" w:lineRule="auto"/>
              <w:jc w:val="both"/>
              <w:rPr>
                <w:rFonts w:eastAsia="Avenir Next LT Pro" w:cs="Avenir Next LT Pro"/>
              </w:rPr>
            </w:pPr>
            <w:r w:rsidRPr="006362B9">
              <w:rPr>
                <w:rFonts w:eastAsia="Avenir Next LT Pro" w:cs="Avenir Next LT Pro"/>
              </w:rPr>
              <w:lastRenderedPageBreak/>
              <w:t xml:space="preserve">Con relación al contexto normativo de la pieza urbana, es importante mencionar que este puede ir cambiando en función de nuevas decisiones regulatorias, como la inclusión de incentivos que puedan adoptarse, o de reglamentación del POT, por ejemplo, con la formulación de la Actuación Estratégica de Fontibón; por lo cual se espera que la estructura de la solución pueda adaptarse posteriormente a esos cambios.  </w:t>
            </w:r>
          </w:p>
          <w:p w14:paraId="2A8E580C" w14:textId="77777777" w:rsidR="0057131E" w:rsidRDefault="0057131E" w:rsidP="00503887">
            <w:pPr>
              <w:pStyle w:val="Prrafodelista"/>
              <w:numPr>
                <w:ilvl w:val="0"/>
                <w:numId w:val="27"/>
              </w:numPr>
              <w:spacing w:line="240" w:lineRule="auto"/>
              <w:jc w:val="both"/>
              <w:rPr>
                <w:rFonts w:eastAsia="Avenir Next LT Pro" w:cs="Avenir Next LT Pro"/>
              </w:rPr>
            </w:pPr>
            <w:r w:rsidRPr="006362B9">
              <w:rPr>
                <w:rFonts w:eastAsia="Avenir Next LT Pro" w:cs="Avenir Next LT Pro"/>
              </w:rPr>
              <w:t xml:space="preserve">La solución no deberá centrarse en diagnósticos socioeconómicos o territoriales ni en la formulación de recomendaciones normativas, dado que el Distrito ya cuenta con insumos y marcos regulatorios vigentes. El enfoque esperado es </w:t>
            </w:r>
            <w:r w:rsidRPr="006362B9">
              <w:rPr>
                <w:rFonts w:eastAsia="Avenir Next LT Pro" w:cs="Avenir Next LT Pro"/>
                <w:b/>
                <w:bCs/>
              </w:rPr>
              <w:t>operativo y funcional</w:t>
            </w:r>
            <w:r w:rsidRPr="006362B9">
              <w:rPr>
                <w:rFonts w:eastAsia="Avenir Next LT Pro" w:cs="Avenir Next LT Pro"/>
              </w:rPr>
              <w:t>, orientado a la simulación de interacciones, la generación de escenarios y la toma de decisiones.</w:t>
            </w:r>
          </w:p>
          <w:p w14:paraId="2E5038EA" w14:textId="77777777" w:rsidR="00503887" w:rsidRPr="006362B9" w:rsidRDefault="00503887" w:rsidP="00503887">
            <w:pPr>
              <w:pStyle w:val="Prrafodelista"/>
              <w:spacing w:line="240" w:lineRule="auto"/>
              <w:jc w:val="both"/>
              <w:rPr>
                <w:rFonts w:eastAsia="Avenir Next LT Pro" w:cs="Avenir Next LT Pro"/>
              </w:rPr>
            </w:pPr>
          </w:p>
          <w:p w14:paraId="31D49283" w14:textId="77777777" w:rsidR="0057131E" w:rsidRPr="006362B9" w:rsidRDefault="0057131E" w:rsidP="00503887">
            <w:pPr>
              <w:jc w:val="both"/>
              <w:rPr>
                <w:rFonts w:eastAsia="Avenir Next LT Pro" w:cs="Avenir Next LT Pro"/>
                <w:b/>
                <w:bCs/>
              </w:rPr>
            </w:pPr>
            <w:r w:rsidRPr="006362B9">
              <w:rPr>
                <w:rFonts w:eastAsia="Avenir Next LT Pro" w:cs="Avenir Next LT Pro"/>
                <w:b/>
                <w:bCs/>
              </w:rPr>
              <w:t xml:space="preserve">Datos del reto de ciudad # 3: </w:t>
            </w:r>
          </w:p>
          <w:p w14:paraId="43057060" w14:textId="77777777" w:rsidR="0057131E" w:rsidRPr="006362B9" w:rsidRDefault="0057131E" w:rsidP="00503887">
            <w:pPr>
              <w:jc w:val="both"/>
              <w:rPr>
                <w:rFonts w:eastAsia="Avenir Next LT Pro" w:cs="Avenir Next LT Pro"/>
              </w:rPr>
            </w:pPr>
            <w:r w:rsidRPr="006362B9">
              <w:rPr>
                <w:rFonts w:eastAsia="Avenir Next LT Pro" w:cs="Avenir Next LT Pro"/>
              </w:rPr>
              <w:t xml:space="preserve">De cara a la propuesta de posibles soluciones, es necesario reconocer las fuentes de información que pueden potencialmente alimentar los modelos que se diseñen en la herramienta. De manera preliminar, se cuentan con las siguientes fuentes de información para incorporar en la herramienta: </w:t>
            </w:r>
          </w:p>
          <w:p w14:paraId="42B4E2F9" w14:textId="77777777" w:rsidR="0057131E" w:rsidRPr="006362B9" w:rsidRDefault="0057131E" w:rsidP="00503887">
            <w:pPr>
              <w:pStyle w:val="Prrafodelista"/>
              <w:numPr>
                <w:ilvl w:val="0"/>
                <w:numId w:val="29"/>
              </w:numPr>
              <w:spacing w:line="240" w:lineRule="auto"/>
              <w:jc w:val="both"/>
              <w:rPr>
                <w:rFonts w:eastAsia="Avenir Next LT Pro" w:cs="Avenir Next LT Pro"/>
              </w:rPr>
            </w:pPr>
            <w:r w:rsidRPr="006362B9">
              <w:rPr>
                <w:rFonts w:eastAsia="Avenir Next LT Pro" w:cs="Avenir Next LT Pro"/>
              </w:rPr>
              <w:t xml:space="preserve">Base de datos geográfica corporativa de la SDP, que contiene registros </w:t>
            </w:r>
          </w:p>
          <w:p w14:paraId="30744AF7" w14:textId="77777777" w:rsidR="0057131E" w:rsidRPr="006362B9" w:rsidRDefault="0057131E" w:rsidP="00503887">
            <w:pPr>
              <w:pStyle w:val="Prrafodelista"/>
              <w:numPr>
                <w:ilvl w:val="0"/>
                <w:numId w:val="29"/>
              </w:numPr>
              <w:spacing w:line="240" w:lineRule="auto"/>
              <w:jc w:val="both"/>
              <w:rPr>
                <w:rFonts w:eastAsia="Avenir Next LT Pro" w:cs="Avenir Next LT Pro"/>
              </w:rPr>
            </w:pPr>
            <w:r w:rsidRPr="006362B9">
              <w:rPr>
                <w:rFonts w:eastAsia="Avenir Next LT Pro" w:cs="Avenir Next LT Pro"/>
              </w:rPr>
              <w:t xml:space="preserve">Base de datos geográfica del POT - Decreto 555 de 2021 </w:t>
            </w:r>
          </w:p>
          <w:p w14:paraId="786CBDC5" w14:textId="77777777" w:rsidR="0057131E" w:rsidRPr="006362B9" w:rsidRDefault="0057131E" w:rsidP="00503887">
            <w:pPr>
              <w:pStyle w:val="Prrafodelista"/>
              <w:numPr>
                <w:ilvl w:val="0"/>
                <w:numId w:val="29"/>
              </w:numPr>
              <w:spacing w:line="240" w:lineRule="auto"/>
              <w:jc w:val="both"/>
              <w:rPr>
                <w:rFonts w:eastAsia="Avenir Next LT Pro" w:cs="Avenir Next LT Pro"/>
              </w:rPr>
            </w:pPr>
            <w:r w:rsidRPr="006362B9">
              <w:rPr>
                <w:rFonts w:eastAsia="Avenir Next LT Pro" w:cs="Avenir Next LT Pro"/>
              </w:rPr>
              <w:t>Shape de capacidad remanente de acueducto con periodicidad de ajuste según reportes de la EAAB</w:t>
            </w:r>
          </w:p>
          <w:p w14:paraId="7EB918D0" w14:textId="77777777" w:rsidR="0057131E" w:rsidRPr="006362B9" w:rsidRDefault="0057131E" w:rsidP="00503887">
            <w:pPr>
              <w:pStyle w:val="Prrafodelista"/>
              <w:numPr>
                <w:ilvl w:val="0"/>
                <w:numId w:val="29"/>
              </w:numPr>
              <w:spacing w:line="240" w:lineRule="auto"/>
              <w:jc w:val="both"/>
              <w:rPr>
                <w:rFonts w:eastAsia="Avenir Next LT Pro" w:cs="Avenir Next LT Pro"/>
              </w:rPr>
            </w:pPr>
            <w:r w:rsidRPr="006362B9">
              <w:rPr>
                <w:rFonts w:eastAsia="Avenir Next LT Pro" w:cs="Avenir Next LT Pro"/>
              </w:rPr>
              <w:t xml:space="preserve">Censo inmobiliario realizado por la UAECD con periodicidad anual </w:t>
            </w:r>
          </w:p>
          <w:p w14:paraId="1DF9D348" w14:textId="77777777" w:rsidR="0057131E" w:rsidRPr="006362B9" w:rsidRDefault="0057131E" w:rsidP="00503887">
            <w:pPr>
              <w:pStyle w:val="Prrafodelista"/>
              <w:numPr>
                <w:ilvl w:val="0"/>
                <w:numId w:val="29"/>
              </w:numPr>
              <w:spacing w:line="240" w:lineRule="auto"/>
              <w:jc w:val="both"/>
              <w:rPr>
                <w:rFonts w:eastAsia="Avenir Next LT Pro" w:cs="Avenir Next LT Pro"/>
              </w:rPr>
            </w:pPr>
            <w:r w:rsidRPr="006362B9">
              <w:rPr>
                <w:rFonts w:eastAsia="Avenir Next LT Pro" w:cs="Avenir Next LT Pro"/>
              </w:rPr>
              <w:t xml:space="preserve">Registro social de hogares de la SDP, que contiene la base de datos del SISBEN y otros registros administrativos complementarios de acceso a servicios y oferta del distrito. </w:t>
            </w:r>
          </w:p>
          <w:p w14:paraId="142B4468" w14:textId="77777777" w:rsidR="0057131E" w:rsidRPr="006362B9" w:rsidRDefault="0057131E" w:rsidP="00503887">
            <w:pPr>
              <w:pStyle w:val="Prrafodelista"/>
              <w:numPr>
                <w:ilvl w:val="0"/>
                <w:numId w:val="29"/>
              </w:numPr>
              <w:spacing w:line="240" w:lineRule="auto"/>
              <w:jc w:val="both"/>
              <w:rPr>
                <w:rFonts w:eastAsia="Avenir Next LT Pro" w:cs="Avenir Next LT Pro"/>
              </w:rPr>
            </w:pPr>
            <w:r w:rsidRPr="006362B9">
              <w:rPr>
                <w:rFonts w:eastAsia="Avenir Next LT Pro" w:cs="Avenir Next LT Pro"/>
              </w:rPr>
              <w:t xml:space="preserve">Información de los proyectos propuestos en el POT, que están recogidos en la formulación de las Actuaciones Estratégicas del Distrito Aeroportuario Engativá y Fontibón (en curso). Se entregará un trazado o ámbito indicativo de los proyectos desde la SPLO de la SDP. </w:t>
            </w:r>
          </w:p>
          <w:p w14:paraId="5AEBF5B0" w14:textId="77777777" w:rsidR="0057131E" w:rsidRPr="006362B9" w:rsidRDefault="0057131E" w:rsidP="00503887">
            <w:pPr>
              <w:pStyle w:val="Prrafodelista"/>
              <w:numPr>
                <w:ilvl w:val="0"/>
                <w:numId w:val="29"/>
              </w:numPr>
              <w:spacing w:line="240" w:lineRule="auto"/>
              <w:jc w:val="both"/>
              <w:rPr>
                <w:rFonts w:eastAsia="Avenir Next LT Pro" w:cs="Avenir Next LT Pro"/>
              </w:rPr>
            </w:pPr>
            <w:r w:rsidRPr="006362B9">
              <w:rPr>
                <w:rFonts w:eastAsia="Avenir Next LT Pro" w:cs="Avenir Next LT Pro"/>
              </w:rPr>
              <w:t xml:space="preserve">Registro de matrículas mercantiles y establecimientos de la Cámara de Comercio de Bogotá con corte mensual </w:t>
            </w:r>
          </w:p>
          <w:p w14:paraId="293D4BB6" w14:textId="77777777" w:rsidR="0057131E" w:rsidRPr="006362B9" w:rsidRDefault="0057131E" w:rsidP="00503887">
            <w:pPr>
              <w:pStyle w:val="Prrafodelista"/>
              <w:numPr>
                <w:ilvl w:val="0"/>
                <w:numId w:val="29"/>
              </w:numPr>
              <w:spacing w:line="240" w:lineRule="auto"/>
              <w:jc w:val="both"/>
              <w:rPr>
                <w:rFonts w:eastAsia="Avenir Next LT Pro" w:cs="Avenir Next LT Pro"/>
              </w:rPr>
            </w:pPr>
            <w:commentRangeStart w:id="22"/>
            <w:r w:rsidRPr="006362B9">
              <w:rPr>
                <w:rFonts w:eastAsia="Avenir Next LT Pro" w:cs="Avenir Next LT Pro"/>
              </w:rPr>
              <w:t xml:space="preserve">Registro de licencias de construcción que se entrega a la SDP por parte de las 5 curadurías urbanas de Bogotá. </w:t>
            </w:r>
            <w:commentRangeEnd w:id="22"/>
            <w:r w:rsidRPr="006362B9">
              <w:rPr>
                <w:rStyle w:val="Refdecomentario"/>
                <w:rFonts w:eastAsia="Avenir Next LT Pro" w:cs="Avenir Next LT Pro"/>
                <w:sz w:val="22"/>
                <w:szCs w:val="22"/>
              </w:rPr>
              <w:commentReference w:id="22"/>
            </w:r>
          </w:p>
          <w:p w14:paraId="2F8E58BD" w14:textId="77777777" w:rsidR="0057131E" w:rsidRPr="006362B9" w:rsidRDefault="0057131E" w:rsidP="00503887">
            <w:pPr>
              <w:pStyle w:val="Prrafodelista"/>
              <w:numPr>
                <w:ilvl w:val="0"/>
                <w:numId w:val="29"/>
              </w:numPr>
              <w:spacing w:line="240" w:lineRule="auto"/>
              <w:jc w:val="both"/>
              <w:rPr>
                <w:rFonts w:eastAsia="Avenir Next LT Pro" w:cs="Avenir Next LT Pro"/>
              </w:rPr>
            </w:pPr>
            <w:r w:rsidRPr="006362B9">
              <w:rPr>
                <w:rFonts w:eastAsia="Avenir Next LT Pro" w:cs="Avenir Next LT Pro"/>
              </w:rPr>
              <w:t xml:space="preserve">Operaciones estadísticas que dan cuenta de las condiciones de las personas y los hogares: </w:t>
            </w:r>
          </w:p>
          <w:p w14:paraId="02EF196A" w14:textId="77777777" w:rsidR="0057131E" w:rsidRPr="006362B9" w:rsidRDefault="0057131E" w:rsidP="00503887">
            <w:pPr>
              <w:pStyle w:val="Prrafodelista"/>
              <w:numPr>
                <w:ilvl w:val="1"/>
                <w:numId w:val="29"/>
              </w:numPr>
              <w:spacing w:line="240" w:lineRule="auto"/>
              <w:jc w:val="both"/>
              <w:rPr>
                <w:rFonts w:eastAsia="Avenir Next LT Pro" w:cs="Avenir Next LT Pro"/>
              </w:rPr>
            </w:pPr>
            <w:r w:rsidRPr="006362B9">
              <w:rPr>
                <w:rFonts w:eastAsia="Avenir Next LT Pro" w:cs="Avenir Next LT Pro"/>
              </w:rPr>
              <w:t xml:space="preserve">Encuesta Multipropósito de Bogotá </w:t>
            </w:r>
          </w:p>
          <w:p w14:paraId="29AEA750" w14:textId="77777777" w:rsidR="0057131E" w:rsidRPr="006362B9" w:rsidRDefault="0057131E" w:rsidP="00503887">
            <w:pPr>
              <w:pStyle w:val="Prrafodelista"/>
              <w:numPr>
                <w:ilvl w:val="1"/>
                <w:numId w:val="29"/>
              </w:numPr>
              <w:spacing w:line="240" w:lineRule="auto"/>
              <w:jc w:val="both"/>
              <w:rPr>
                <w:rFonts w:eastAsia="Avenir Next LT Pro" w:cs="Avenir Next LT Pro"/>
              </w:rPr>
            </w:pPr>
            <w:r w:rsidRPr="006362B9">
              <w:rPr>
                <w:rFonts w:eastAsia="Avenir Next LT Pro" w:cs="Avenir Next LT Pro"/>
              </w:rPr>
              <w:t xml:space="preserve">Censo Nacional de Población y Vivienda </w:t>
            </w:r>
          </w:p>
          <w:p w14:paraId="2C557D8F" w14:textId="77777777" w:rsidR="0057131E" w:rsidRPr="006362B9" w:rsidRDefault="0057131E" w:rsidP="00503887">
            <w:pPr>
              <w:pStyle w:val="Prrafodelista"/>
              <w:numPr>
                <w:ilvl w:val="0"/>
                <w:numId w:val="29"/>
              </w:numPr>
              <w:spacing w:line="240" w:lineRule="auto"/>
              <w:jc w:val="both"/>
              <w:rPr>
                <w:rFonts w:eastAsia="Avenir Next LT Pro" w:cs="Avenir Next LT Pro"/>
              </w:rPr>
            </w:pPr>
            <w:r w:rsidRPr="006362B9">
              <w:rPr>
                <w:rFonts w:eastAsia="Avenir Next LT Pro" w:cs="Avenir Next LT Pro"/>
              </w:rPr>
              <w:t>Reportes con los resultados cualitativos de los grupos colectivos y espacios individuales realizados con actores interesados</w:t>
            </w:r>
          </w:p>
          <w:p w14:paraId="66BEAB17" w14:textId="77777777" w:rsidR="0057131E" w:rsidRPr="006362B9" w:rsidRDefault="0057131E" w:rsidP="00503887">
            <w:pPr>
              <w:jc w:val="both"/>
              <w:rPr>
                <w:rFonts w:eastAsia="Avenir Next LT Pro" w:cs="Avenir Next LT Pro"/>
                <w:b/>
                <w:bCs/>
              </w:rPr>
            </w:pPr>
          </w:p>
          <w:p w14:paraId="3BB690E2" w14:textId="77777777" w:rsidR="0057131E" w:rsidRPr="006362B9" w:rsidRDefault="0057131E" w:rsidP="00503887">
            <w:pPr>
              <w:jc w:val="both"/>
              <w:rPr>
                <w:rFonts w:eastAsia="Avenir Next LT Pro" w:cs="Avenir Next LT Pro"/>
                <w:b/>
                <w:bCs/>
              </w:rPr>
            </w:pPr>
            <w:r w:rsidRPr="006362B9">
              <w:rPr>
                <w:rFonts w:eastAsia="Avenir Next LT Pro" w:cs="Avenir Next LT Pro"/>
                <w:b/>
                <w:bCs/>
              </w:rPr>
              <w:t>Características técnicas y de usabilidad</w:t>
            </w:r>
          </w:p>
          <w:p w14:paraId="65E10DC8" w14:textId="77777777" w:rsidR="0057131E" w:rsidRPr="006362B9" w:rsidRDefault="0057131E" w:rsidP="00503887">
            <w:pPr>
              <w:jc w:val="both"/>
              <w:rPr>
                <w:rFonts w:eastAsia="Avenir Next LT Pro" w:cs="Avenir Next LT Pro"/>
              </w:rPr>
            </w:pPr>
            <w:r w:rsidRPr="006362B9">
              <w:rPr>
                <w:rFonts w:eastAsia="Avenir Next LT Pro" w:cs="Avenir Next LT Pro"/>
              </w:rPr>
              <w:t>Desde el punto de vista técnico, la solución deberá construirse con base en los siguientes principios:</w:t>
            </w:r>
          </w:p>
          <w:p w14:paraId="05DAB024" w14:textId="77777777" w:rsidR="0057131E" w:rsidRPr="006362B9" w:rsidRDefault="0057131E" w:rsidP="00503887">
            <w:pPr>
              <w:numPr>
                <w:ilvl w:val="0"/>
                <w:numId w:val="30"/>
              </w:numPr>
              <w:spacing w:line="240" w:lineRule="auto"/>
              <w:jc w:val="both"/>
              <w:rPr>
                <w:rFonts w:eastAsia="Avenir Next LT Pro" w:cs="Avenir Next LT Pro"/>
              </w:rPr>
            </w:pPr>
            <w:r w:rsidRPr="006362B9">
              <w:rPr>
                <w:rFonts w:eastAsia="Avenir Next LT Pro" w:cs="Avenir Next LT Pro"/>
                <w:b/>
                <w:bCs/>
              </w:rPr>
              <w:t>Modularidad, escalabilidad e interoperabilidad</w:t>
            </w:r>
            <w:r w:rsidRPr="006362B9">
              <w:rPr>
                <w:rFonts w:eastAsia="Avenir Next LT Pro" w:cs="Avenir Next LT Pro"/>
              </w:rPr>
              <w:t>, de manera que pueda evolucionar y adaptarse a futuros contextos sin comprometer la estabilidad del núcleo.</w:t>
            </w:r>
          </w:p>
          <w:p w14:paraId="31A3F992" w14:textId="77777777" w:rsidR="0057131E" w:rsidRPr="006362B9" w:rsidRDefault="0057131E" w:rsidP="00503887">
            <w:pPr>
              <w:numPr>
                <w:ilvl w:val="0"/>
                <w:numId w:val="30"/>
              </w:numPr>
              <w:spacing w:line="240" w:lineRule="auto"/>
              <w:jc w:val="both"/>
              <w:rPr>
                <w:rFonts w:eastAsia="Avenir Next LT Pro" w:cs="Avenir Next LT Pro"/>
              </w:rPr>
            </w:pPr>
            <w:r w:rsidRPr="006362B9">
              <w:rPr>
                <w:rFonts w:eastAsia="Avenir Next LT Pro" w:cs="Avenir Next LT Pro"/>
                <w:b/>
                <w:bCs/>
              </w:rPr>
              <w:t>Arquitectura flexible</w:t>
            </w:r>
            <w:r w:rsidRPr="006362B9">
              <w:rPr>
                <w:rFonts w:eastAsia="Avenir Next LT Pro" w:cs="Avenir Next LT Pro"/>
              </w:rPr>
              <w:t>, que facilite el desarrollo iterativo del MVP y la integración progresiva de componentes especializados, con bajo costo de transición.</w:t>
            </w:r>
          </w:p>
          <w:p w14:paraId="7AAA1B1F" w14:textId="77777777" w:rsidR="0057131E" w:rsidRPr="006362B9" w:rsidRDefault="0057131E" w:rsidP="00503887">
            <w:pPr>
              <w:numPr>
                <w:ilvl w:val="0"/>
                <w:numId w:val="30"/>
              </w:numPr>
              <w:spacing w:line="240" w:lineRule="auto"/>
              <w:jc w:val="both"/>
              <w:rPr>
                <w:rFonts w:eastAsia="Avenir Next LT Pro" w:cs="Avenir Next LT Pro"/>
              </w:rPr>
            </w:pPr>
            <w:r w:rsidRPr="006362B9">
              <w:rPr>
                <w:rFonts w:eastAsia="Avenir Next LT Pro" w:cs="Avenir Next LT Pro"/>
                <w:b/>
                <w:bCs/>
              </w:rPr>
              <w:t>Despliegue seguro y accesible</w:t>
            </w:r>
            <w:r w:rsidRPr="006362B9">
              <w:rPr>
                <w:rFonts w:eastAsia="Avenir Next LT Pro" w:cs="Avenir Next LT Pro"/>
              </w:rPr>
              <w:t>, garantizando estabilidad operativa, portabilidad entre plataformas y protección de datos. No se exige una tecnología específica, pero su elección deberá justificarse por criterios de eficiencia, robustez e integración con sistemas distritales o de terceros tomando en cuenta los lineamientos técnicos definidos por la entidad.</w:t>
            </w:r>
          </w:p>
          <w:p w14:paraId="6ADF603B" w14:textId="77777777" w:rsidR="0057131E" w:rsidRPr="006362B9" w:rsidRDefault="0057131E" w:rsidP="00503887">
            <w:pPr>
              <w:numPr>
                <w:ilvl w:val="0"/>
                <w:numId w:val="30"/>
              </w:numPr>
              <w:spacing w:line="240" w:lineRule="auto"/>
              <w:jc w:val="both"/>
              <w:rPr>
                <w:rFonts w:eastAsia="Avenir Next LT Pro" w:cs="Avenir Next LT Pro"/>
              </w:rPr>
            </w:pPr>
            <w:r w:rsidRPr="006362B9">
              <w:rPr>
                <w:rFonts w:eastAsia="Avenir Next LT Pro" w:cs="Avenir Next LT Pro"/>
                <w:b/>
                <w:bCs/>
              </w:rPr>
              <w:t>Interfaz clara e intuitiva</w:t>
            </w:r>
            <w:r w:rsidRPr="006362B9">
              <w:rPr>
                <w:rFonts w:eastAsia="Avenir Next LT Pro" w:cs="Avenir Next LT Pro"/>
              </w:rPr>
              <w:t>, adaptada a perfiles técnicos, institucionales y comunitarios, que facilite la comprensión de opciones y escenarios, y permita la retroalimentación de los actores.</w:t>
            </w:r>
          </w:p>
          <w:p w14:paraId="167BADE6" w14:textId="77777777" w:rsidR="0057131E" w:rsidRPr="006362B9" w:rsidRDefault="0057131E" w:rsidP="00503887">
            <w:pPr>
              <w:numPr>
                <w:ilvl w:val="0"/>
                <w:numId w:val="30"/>
              </w:numPr>
              <w:spacing w:line="240" w:lineRule="auto"/>
              <w:jc w:val="both"/>
              <w:rPr>
                <w:rFonts w:eastAsia="Avenir Next LT Pro" w:cs="Avenir Next LT Pro"/>
              </w:rPr>
            </w:pPr>
            <w:r w:rsidRPr="006362B9">
              <w:rPr>
                <w:rFonts w:eastAsia="Avenir Next LT Pro" w:cs="Avenir Next LT Pro"/>
                <w:b/>
                <w:bCs/>
              </w:rPr>
              <w:t>Representaciones visuales comprensibles</w:t>
            </w:r>
            <w:r w:rsidRPr="006362B9">
              <w:rPr>
                <w:rFonts w:eastAsia="Avenir Next LT Pro" w:cs="Avenir Next LT Pro"/>
              </w:rPr>
              <w:t xml:space="preserve"> de las transformaciones esperadas en el entorno aeroportuario, sin necesidad de modelados arquitectónicos complejos en la fase inicial.</w:t>
            </w:r>
          </w:p>
          <w:p w14:paraId="21CB0AC7" w14:textId="77777777" w:rsidR="0057131E" w:rsidRPr="006362B9" w:rsidRDefault="0057131E" w:rsidP="00503887">
            <w:pPr>
              <w:numPr>
                <w:ilvl w:val="0"/>
                <w:numId w:val="30"/>
              </w:numPr>
              <w:spacing w:line="240" w:lineRule="auto"/>
              <w:jc w:val="both"/>
              <w:rPr>
                <w:rFonts w:eastAsia="Avenir Next LT Pro" w:cs="Avenir Next LT Pro"/>
              </w:rPr>
            </w:pPr>
            <w:r w:rsidRPr="006362B9">
              <w:rPr>
                <w:rFonts w:eastAsia="Avenir Next LT Pro" w:cs="Avenir Next LT Pro"/>
                <w:b/>
                <w:bCs/>
              </w:rPr>
              <w:t>Registro y gestión de interacciones de usuarios</w:t>
            </w:r>
            <w:r w:rsidRPr="006362B9">
              <w:rPr>
                <w:rFonts w:eastAsia="Avenir Next LT Pro" w:cs="Avenir Next LT Pro"/>
              </w:rPr>
              <w:t>, de forma estructurada o libre, siempre que esto sea sostenible y escalable.</w:t>
            </w:r>
          </w:p>
          <w:p w14:paraId="05692CF1" w14:textId="77777777" w:rsidR="0057131E" w:rsidRPr="006362B9" w:rsidRDefault="0057131E" w:rsidP="00503887">
            <w:pPr>
              <w:numPr>
                <w:ilvl w:val="0"/>
                <w:numId w:val="30"/>
              </w:numPr>
              <w:spacing w:line="240" w:lineRule="auto"/>
              <w:jc w:val="both"/>
              <w:rPr>
                <w:rFonts w:eastAsia="Avenir Next LT Pro" w:cs="Avenir Next LT Pro"/>
              </w:rPr>
            </w:pPr>
            <w:r w:rsidRPr="006362B9">
              <w:rPr>
                <w:rFonts w:eastAsia="Avenir Next LT Pro" w:cs="Avenir Next LT Pro"/>
                <w:b/>
                <w:bCs/>
              </w:rPr>
              <w:lastRenderedPageBreak/>
              <w:t>Protección de datos personales</w:t>
            </w:r>
            <w:r w:rsidRPr="006362B9">
              <w:rPr>
                <w:rFonts w:eastAsia="Avenir Next LT Pro" w:cs="Avenir Next LT Pro"/>
              </w:rPr>
              <w:t xml:space="preserve"> aplicada desde el diseño (consentimiento informado, anonimización y trazabilidad).</w:t>
            </w:r>
          </w:p>
          <w:p w14:paraId="2EEDD951" w14:textId="77777777" w:rsidR="0057131E" w:rsidRDefault="0057131E" w:rsidP="00503887">
            <w:pPr>
              <w:numPr>
                <w:ilvl w:val="0"/>
                <w:numId w:val="30"/>
              </w:numPr>
              <w:spacing w:line="240" w:lineRule="auto"/>
              <w:jc w:val="both"/>
              <w:rPr>
                <w:rFonts w:eastAsia="Avenir Next LT Pro" w:cs="Avenir Next LT Pro"/>
              </w:rPr>
            </w:pPr>
            <w:r w:rsidRPr="006362B9">
              <w:rPr>
                <w:rFonts w:eastAsia="Avenir Next LT Pro" w:cs="Avenir Next LT Pro"/>
                <w:b/>
                <w:bCs/>
              </w:rPr>
              <w:t>Capacidad de integración</w:t>
            </w:r>
            <w:r w:rsidRPr="006362B9">
              <w:rPr>
                <w:rFonts w:eastAsia="Avenir Next LT Pro" w:cs="Avenir Next LT Pro"/>
              </w:rPr>
              <w:t xml:space="preserve"> de insumos normativos, catastrales, socioeconómicos y geográficos, que deberán ser utilizados activamente por el modelo para validar y enriquecer los escenarios.</w:t>
            </w:r>
          </w:p>
          <w:p w14:paraId="738ED411" w14:textId="77777777" w:rsidR="00503887" w:rsidRPr="006362B9" w:rsidRDefault="00503887" w:rsidP="00503887">
            <w:pPr>
              <w:spacing w:line="240" w:lineRule="auto"/>
              <w:jc w:val="both"/>
              <w:rPr>
                <w:rFonts w:eastAsia="Avenir Next LT Pro" w:cs="Avenir Next LT Pro"/>
              </w:rPr>
            </w:pPr>
          </w:p>
          <w:p w14:paraId="75B6C201" w14:textId="77777777" w:rsidR="0057131E" w:rsidRPr="006362B9" w:rsidRDefault="0057131E" w:rsidP="00503887">
            <w:pPr>
              <w:jc w:val="both"/>
              <w:rPr>
                <w:rFonts w:eastAsia="Avenir Next LT Pro" w:cs="Avenir Next LT Pro"/>
              </w:rPr>
            </w:pPr>
            <w:r w:rsidRPr="006362B9">
              <w:rPr>
                <w:rFonts w:eastAsia="Avenir Next LT Pro" w:cs="Avenir Next LT Pro"/>
                <w:b/>
                <w:bCs/>
              </w:rPr>
              <w:t>Tecnologías Recomendadas</w:t>
            </w:r>
          </w:p>
          <w:p w14:paraId="7F3D886F" w14:textId="77777777" w:rsidR="0057131E" w:rsidRPr="006362B9" w:rsidRDefault="0057131E" w:rsidP="00503887">
            <w:pPr>
              <w:jc w:val="both"/>
              <w:rPr>
                <w:rFonts w:eastAsia="Avenir Next LT Pro" w:cs="Avenir Next LT Pro"/>
              </w:rPr>
            </w:pPr>
            <w:r w:rsidRPr="006362B9">
              <w:rPr>
                <w:rFonts w:eastAsia="Avenir Next LT Pro" w:cs="Avenir Next LT Pro"/>
              </w:rPr>
              <w:t>Para la implementación, se sugieren las tecnologías que la entidad ha definido como estándares, asegurando así la robustez y compatibilidad con los sistemas distritales:</w:t>
            </w:r>
          </w:p>
          <w:p w14:paraId="76A81610" w14:textId="77777777" w:rsidR="0057131E" w:rsidRPr="006362B9" w:rsidRDefault="0057131E" w:rsidP="00503887">
            <w:pPr>
              <w:pStyle w:val="Prrafodelista"/>
              <w:numPr>
                <w:ilvl w:val="0"/>
                <w:numId w:val="28"/>
              </w:numPr>
              <w:spacing w:line="240" w:lineRule="auto"/>
              <w:jc w:val="both"/>
              <w:rPr>
                <w:rFonts w:eastAsia="Avenir Next LT Pro" w:cs="Avenir Next LT Pro"/>
              </w:rPr>
            </w:pPr>
            <w:r w:rsidRPr="006362B9">
              <w:rPr>
                <w:rFonts w:eastAsia="Avenir Next LT Pro" w:cs="Avenir Next LT Pro"/>
                <w:b/>
                <w:bCs/>
              </w:rPr>
              <w:t>Frontend:</w:t>
            </w:r>
            <w:r w:rsidRPr="006362B9">
              <w:rPr>
                <w:rFonts w:eastAsia="Avenir Next LT Pro" w:cs="Avenir Next LT Pro"/>
              </w:rPr>
              <w:t xml:space="preserve"> Se puede usar </w:t>
            </w:r>
            <w:r w:rsidRPr="006362B9">
              <w:rPr>
                <w:rFonts w:eastAsia="Avenir Next LT Pro" w:cs="Avenir Next LT Pro"/>
                <w:b/>
                <w:bCs/>
              </w:rPr>
              <w:t>HTML5</w:t>
            </w:r>
            <w:r w:rsidRPr="006362B9">
              <w:rPr>
                <w:rFonts w:eastAsia="Avenir Next LT Pro" w:cs="Avenir Next LT Pro"/>
              </w:rPr>
              <w:t xml:space="preserve">, </w:t>
            </w:r>
            <w:r w:rsidRPr="006362B9">
              <w:rPr>
                <w:rFonts w:eastAsia="Avenir Next LT Pro" w:cs="Avenir Next LT Pro"/>
                <w:b/>
                <w:bCs/>
              </w:rPr>
              <w:t>CSS3</w:t>
            </w:r>
            <w:r w:rsidRPr="006362B9">
              <w:rPr>
                <w:rFonts w:eastAsia="Avenir Next LT Pro" w:cs="Avenir Next LT Pro"/>
              </w:rPr>
              <w:t xml:space="preserve"> y </w:t>
            </w:r>
            <w:r w:rsidRPr="006362B9">
              <w:rPr>
                <w:rFonts w:eastAsia="Avenir Next LT Pro" w:cs="Avenir Next LT Pro"/>
                <w:b/>
                <w:bCs/>
              </w:rPr>
              <w:t>JavaScript ES6+</w:t>
            </w:r>
            <w:r w:rsidRPr="006362B9">
              <w:rPr>
                <w:rFonts w:eastAsia="Avenir Next LT Pro" w:cs="Avenir Next LT Pro"/>
              </w:rPr>
              <w:t xml:space="preserve">. Para frameworks, se recomiendan  </w:t>
            </w:r>
            <w:r w:rsidRPr="006362B9">
              <w:rPr>
                <w:rFonts w:eastAsia="Avenir Next LT Pro" w:cs="Avenir Next LT Pro"/>
                <w:b/>
                <w:bCs/>
              </w:rPr>
              <w:t>React</w:t>
            </w:r>
            <w:r w:rsidRPr="006362B9">
              <w:rPr>
                <w:rFonts w:eastAsia="Avenir Next LT Pro" w:cs="Avenir Next LT Pro"/>
              </w:rPr>
              <w:t xml:space="preserve">, </w:t>
            </w:r>
            <w:r w:rsidRPr="006362B9">
              <w:rPr>
                <w:rFonts w:eastAsia="Avenir Next LT Pro" w:cs="Avenir Next LT Pro"/>
                <w:b/>
                <w:bCs/>
              </w:rPr>
              <w:t>Angular</w:t>
            </w:r>
            <w:r w:rsidRPr="006362B9">
              <w:rPr>
                <w:rFonts w:eastAsia="Avenir Next LT Pro" w:cs="Avenir Next LT Pro"/>
              </w:rPr>
              <w:t xml:space="preserve"> o </w:t>
            </w:r>
            <w:r w:rsidRPr="006362B9">
              <w:rPr>
                <w:rFonts w:eastAsia="Avenir Next LT Pro" w:cs="Avenir Next LT Pro"/>
                <w:b/>
                <w:bCs/>
              </w:rPr>
              <w:t>Vue</w:t>
            </w:r>
            <w:r w:rsidRPr="006362B9">
              <w:rPr>
                <w:rFonts w:eastAsia="Avenir Next LT Pro" w:cs="Avenir Next LT Pro"/>
              </w:rPr>
              <w:t xml:space="preserve">. La interfaz de usuario debe ser </w:t>
            </w:r>
            <w:r w:rsidRPr="006362B9">
              <w:rPr>
                <w:rFonts w:eastAsia="Avenir Next LT Pro" w:cs="Avenir Next LT Pro"/>
                <w:b/>
                <w:bCs/>
              </w:rPr>
              <w:t>clara e intuitiva</w:t>
            </w:r>
            <w:r w:rsidRPr="006362B9">
              <w:rPr>
                <w:rFonts w:eastAsia="Avenir Next LT Pro" w:cs="Avenir Next LT Pro"/>
              </w:rPr>
              <w:t>, adaptable a perfiles técnicos y no técnicos.</w:t>
            </w:r>
          </w:p>
          <w:p w14:paraId="29635AE0" w14:textId="77777777" w:rsidR="0057131E" w:rsidRPr="006362B9" w:rsidRDefault="0057131E" w:rsidP="00503887">
            <w:pPr>
              <w:pStyle w:val="Prrafodelista"/>
              <w:numPr>
                <w:ilvl w:val="0"/>
                <w:numId w:val="28"/>
              </w:numPr>
              <w:spacing w:line="240" w:lineRule="auto"/>
              <w:jc w:val="both"/>
              <w:rPr>
                <w:rFonts w:eastAsia="Avenir Next LT Pro" w:cs="Avenir Next LT Pro"/>
              </w:rPr>
            </w:pPr>
            <w:r w:rsidRPr="006362B9">
              <w:rPr>
                <w:rFonts w:eastAsia="Avenir Next LT Pro" w:cs="Avenir Next LT Pro"/>
                <w:b/>
                <w:bCs/>
              </w:rPr>
              <w:t>Backend:</w:t>
            </w:r>
            <w:r w:rsidRPr="006362B9">
              <w:rPr>
                <w:rFonts w:eastAsia="Avenir Next LT Pro" w:cs="Avenir Next LT Pro"/>
              </w:rPr>
              <w:t xml:space="preserve"> Las opciones sugeridas incluyen </w:t>
            </w:r>
            <w:r w:rsidRPr="006362B9">
              <w:rPr>
                <w:rFonts w:eastAsia="Avenir Next LT Pro" w:cs="Avenir Next LT Pro"/>
                <w:b/>
                <w:bCs/>
              </w:rPr>
              <w:t>Node.js</w:t>
            </w:r>
            <w:r w:rsidRPr="006362B9">
              <w:rPr>
                <w:rFonts w:eastAsia="Avenir Next LT Pro" w:cs="Avenir Next LT Pro"/>
              </w:rPr>
              <w:t xml:space="preserve"> con </w:t>
            </w:r>
            <w:r w:rsidRPr="006362B9">
              <w:rPr>
                <w:rFonts w:eastAsia="Avenir Next LT Pro" w:cs="Avenir Next LT Pro"/>
                <w:b/>
                <w:bCs/>
              </w:rPr>
              <w:t>Express.js</w:t>
            </w:r>
            <w:r w:rsidRPr="006362B9">
              <w:rPr>
                <w:rFonts w:eastAsia="Avenir Next LT Pro" w:cs="Avenir Next LT Pro"/>
              </w:rPr>
              <w:t xml:space="preserve">, </w:t>
            </w:r>
            <w:r w:rsidRPr="006362B9">
              <w:rPr>
                <w:rFonts w:eastAsia="Avenir Next LT Pro" w:cs="Avenir Next LT Pro"/>
                <w:b/>
                <w:bCs/>
              </w:rPr>
              <w:t>Python</w:t>
            </w:r>
            <w:r w:rsidRPr="006362B9">
              <w:rPr>
                <w:rFonts w:eastAsia="Avenir Next LT Pro" w:cs="Avenir Next LT Pro"/>
              </w:rPr>
              <w:t xml:space="preserve"> con </w:t>
            </w:r>
            <w:r w:rsidRPr="006362B9">
              <w:rPr>
                <w:rFonts w:eastAsia="Avenir Next LT Pro" w:cs="Avenir Next LT Pro"/>
                <w:b/>
                <w:bCs/>
              </w:rPr>
              <w:t>Django</w:t>
            </w:r>
            <w:r w:rsidRPr="006362B9">
              <w:rPr>
                <w:rFonts w:eastAsia="Avenir Next LT Pro" w:cs="Avenir Next LT Pro"/>
              </w:rPr>
              <w:t xml:space="preserve"> o </w:t>
            </w:r>
            <w:r w:rsidRPr="006362B9">
              <w:rPr>
                <w:rFonts w:eastAsia="Avenir Next LT Pro" w:cs="Avenir Next LT Pro"/>
                <w:b/>
                <w:bCs/>
              </w:rPr>
              <w:t>Flask</w:t>
            </w:r>
            <w:r w:rsidRPr="006362B9">
              <w:rPr>
                <w:rFonts w:eastAsia="Avenir Next LT Pro" w:cs="Avenir Next LT Pro"/>
              </w:rPr>
              <w:t xml:space="preserve">, o </w:t>
            </w:r>
            <w:r w:rsidRPr="006362B9">
              <w:rPr>
                <w:rFonts w:eastAsia="Avenir Next LT Pro" w:cs="Avenir Next LT Pro"/>
                <w:b/>
                <w:bCs/>
              </w:rPr>
              <w:t>.NET Core</w:t>
            </w:r>
            <w:r w:rsidRPr="006362B9">
              <w:rPr>
                <w:rFonts w:eastAsia="Avenir Next LT Pro" w:cs="Avenir Next LT Pro"/>
              </w:rPr>
              <w:t>. Java.</w:t>
            </w:r>
          </w:p>
          <w:p w14:paraId="63A20EFA" w14:textId="77777777" w:rsidR="0057131E" w:rsidRPr="006362B9" w:rsidRDefault="0057131E" w:rsidP="00503887">
            <w:pPr>
              <w:pStyle w:val="Prrafodelista"/>
              <w:numPr>
                <w:ilvl w:val="0"/>
                <w:numId w:val="28"/>
              </w:numPr>
              <w:spacing w:line="240" w:lineRule="auto"/>
              <w:jc w:val="both"/>
              <w:rPr>
                <w:rFonts w:eastAsia="Avenir Next LT Pro" w:cs="Avenir Next LT Pro"/>
              </w:rPr>
            </w:pPr>
            <w:r w:rsidRPr="006362B9">
              <w:rPr>
                <w:rFonts w:eastAsia="Avenir Next LT Pro" w:cs="Avenir Next LT Pro"/>
                <w:b/>
                <w:bCs/>
              </w:rPr>
              <w:t>Bases de Datos:</w:t>
            </w:r>
            <w:r w:rsidRPr="006362B9">
              <w:rPr>
                <w:rFonts w:eastAsia="Avenir Next LT Pro" w:cs="Avenir Next LT Pro"/>
              </w:rPr>
              <w:t xml:space="preserve"> Se pueden usar bases de datos relacionales como </w:t>
            </w:r>
            <w:r w:rsidRPr="006362B9">
              <w:rPr>
                <w:rFonts w:eastAsia="Avenir Next LT Pro" w:cs="Avenir Next LT Pro"/>
                <w:b/>
                <w:bCs/>
              </w:rPr>
              <w:t>Oracle</w:t>
            </w:r>
            <w:r w:rsidRPr="006362B9">
              <w:rPr>
                <w:rFonts w:eastAsia="Avenir Next LT Pro" w:cs="Avenir Next LT Pro"/>
              </w:rPr>
              <w:t xml:space="preserve">, </w:t>
            </w:r>
            <w:r w:rsidRPr="006362B9">
              <w:rPr>
                <w:rFonts w:eastAsia="Avenir Next LT Pro" w:cs="Avenir Next LT Pro"/>
                <w:b/>
                <w:bCs/>
              </w:rPr>
              <w:t>PostgreSQL</w:t>
            </w:r>
            <w:r w:rsidRPr="006362B9">
              <w:rPr>
                <w:rFonts w:eastAsia="Avenir Next LT Pro" w:cs="Avenir Next LT Pro"/>
              </w:rPr>
              <w:t xml:space="preserve"> o </w:t>
            </w:r>
            <w:r w:rsidRPr="006362B9">
              <w:rPr>
                <w:rFonts w:eastAsia="Avenir Next LT Pro" w:cs="Avenir Next LT Pro"/>
                <w:b/>
                <w:bCs/>
              </w:rPr>
              <w:t>MySQL</w:t>
            </w:r>
            <w:r w:rsidRPr="006362B9">
              <w:rPr>
                <w:rFonts w:eastAsia="Avenir Next LT Pro" w:cs="Avenir Next LT Pro"/>
              </w:rPr>
              <w:t xml:space="preserve">, así como bases de datos NoSQL como </w:t>
            </w:r>
            <w:r w:rsidRPr="006362B9">
              <w:rPr>
                <w:rFonts w:eastAsia="Avenir Next LT Pro" w:cs="Avenir Next LT Pro"/>
                <w:b/>
                <w:bCs/>
              </w:rPr>
              <w:t>MongoDB</w:t>
            </w:r>
            <w:r w:rsidRPr="006362B9">
              <w:rPr>
                <w:rFonts w:eastAsia="Avenir Next LT Pro" w:cs="Avenir Next LT Pro"/>
              </w:rPr>
              <w:t>.</w:t>
            </w:r>
          </w:p>
          <w:p w14:paraId="5B257139" w14:textId="77777777" w:rsidR="0057131E" w:rsidRPr="006362B9" w:rsidRDefault="0057131E" w:rsidP="00503887">
            <w:pPr>
              <w:pStyle w:val="Prrafodelista"/>
              <w:numPr>
                <w:ilvl w:val="0"/>
                <w:numId w:val="28"/>
              </w:numPr>
              <w:spacing w:line="240" w:lineRule="auto"/>
              <w:jc w:val="both"/>
              <w:rPr>
                <w:rFonts w:eastAsia="Avenir Next LT Pro" w:cs="Avenir Next LT Pro"/>
              </w:rPr>
            </w:pPr>
            <w:r w:rsidRPr="006362B9">
              <w:rPr>
                <w:rFonts w:eastAsia="Avenir Next LT Pro" w:cs="Avenir Next LT Pro"/>
                <w:b/>
                <w:bCs/>
              </w:rPr>
              <w:t>APIs:</w:t>
            </w:r>
            <w:r w:rsidRPr="006362B9">
              <w:rPr>
                <w:rFonts w:eastAsia="Avenir Next LT Pro" w:cs="Avenir Next LT Pro"/>
              </w:rPr>
              <w:t xml:space="preserve"> La comunicación entre componentes se definirá mediante </w:t>
            </w:r>
            <w:r w:rsidRPr="006362B9">
              <w:rPr>
                <w:rFonts w:eastAsia="Avenir Next LT Pro" w:cs="Avenir Next LT Pro"/>
                <w:b/>
                <w:bCs/>
              </w:rPr>
              <w:t>APIs RESTful</w:t>
            </w:r>
            <w:r w:rsidRPr="006362B9">
              <w:rPr>
                <w:rFonts w:eastAsia="Avenir Next LT Pro" w:cs="Avenir Next LT Pro"/>
              </w:rPr>
              <w:t xml:space="preserve"> o </w:t>
            </w:r>
            <w:r w:rsidRPr="006362B9">
              <w:rPr>
                <w:rFonts w:eastAsia="Avenir Next LT Pro" w:cs="Avenir Next LT Pro"/>
                <w:b/>
                <w:bCs/>
              </w:rPr>
              <w:t>GraphQL</w:t>
            </w:r>
            <w:r w:rsidRPr="006362B9">
              <w:rPr>
                <w:rFonts w:eastAsia="Avenir Next LT Pro" w:cs="Avenir Next LT Pro"/>
              </w:rPr>
              <w:t>.</w:t>
            </w:r>
          </w:p>
          <w:p w14:paraId="3ED5A6BD" w14:textId="77777777" w:rsidR="00BE704E" w:rsidRDefault="0057131E" w:rsidP="00503887">
            <w:pPr>
              <w:pStyle w:val="Prrafodelista"/>
              <w:numPr>
                <w:ilvl w:val="0"/>
                <w:numId w:val="28"/>
              </w:numPr>
              <w:spacing w:line="240" w:lineRule="auto"/>
              <w:jc w:val="both"/>
              <w:rPr>
                <w:rFonts w:eastAsia="Avenir Next LT Pro" w:cs="Avenir Next LT Pro"/>
              </w:rPr>
            </w:pPr>
            <w:r w:rsidRPr="006362B9">
              <w:rPr>
                <w:rFonts w:eastAsia="Avenir Next LT Pro" w:cs="Avenir Next LT Pro"/>
                <w:b/>
                <w:bCs/>
              </w:rPr>
              <w:t>DevOps:</w:t>
            </w:r>
            <w:r w:rsidRPr="006362B9">
              <w:rPr>
                <w:rFonts w:eastAsia="Avenir Next LT Pro" w:cs="Avenir Next LT Pro"/>
              </w:rPr>
              <w:t xml:space="preserve"> Las herramientas recomendadas son </w:t>
            </w:r>
            <w:r w:rsidRPr="006362B9">
              <w:rPr>
                <w:rFonts w:eastAsia="Avenir Next LT Pro" w:cs="Avenir Next LT Pro"/>
                <w:b/>
                <w:bCs/>
              </w:rPr>
              <w:t>Docker</w:t>
            </w:r>
            <w:r w:rsidRPr="006362B9">
              <w:rPr>
                <w:rFonts w:eastAsia="Avenir Next LT Pro" w:cs="Avenir Next LT Pro"/>
              </w:rPr>
              <w:t xml:space="preserve">,  </w:t>
            </w:r>
            <w:r w:rsidRPr="006362B9">
              <w:rPr>
                <w:rFonts w:eastAsia="Avenir Next LT Pro" w:cs="Avenir Next LT Pro"/>
                <w:b/>
                <w:bCs/>
              </w:rPr>
              <w:t>GitLab CI</w:t>
            </w:r>
            <w:r w:rsidRPr="006362B9">
              <w:rPr>
                <w:rFonts w:eastAsia="Avenir Next LT Pro" w:cs="Avenir Next LT Pro"/>
              </w:rPr>
              <w:t xml:space="preserve">. Se debe usar </w:t>
            </w:r>
            <w:r w:rsidRPr="006362B9">
              <w:rPr>
                <w:rFonts w:eastAsia="Avenir Next LT Pro" w:cs="Avenir Next LT Pro"/>
                <w:b/>
                <w:bCs/>
              </w:rPr>
              <w:t>Git</w:t>
            </w:r>
            <w:r w:rsidRPr="006362B9">
              <w:rPr>
                <w:rFonts w:eastAsia="Avenir Next LT Pro" w:cs="Avenir Next LT Pro"/>
              </w:rPr>
              <w:t xml:space="preserve"> para el control de versiones.</w:t>
            </w:r>
          </w:p>
          <w:p w14:paraId="0AB62669" w14:textId="3142CCC3" w:rsidR="0048130F" w:rsidRPr="00801438" w:rsidRDefault="0057131E" w:rsidP="00503887">
            <w:pPr>
              <w:pStyle w:val="Prrafodelista"/>
              <w:numPr>
                <w:ilvl w:val="0"/>
                <w:numId w:val="28"/>
              </w:numPr>
              <w:spacing w:after="160" w:line="240" w:lineRule="auto"/>
              <w:jc w:val="both"/>
              <w:rPr>
                <w:rFonts w:eastAsia="Avenir Next LT Pro" w:cs="Avenir Next LT Pro"/>
              </w:rPr>
            </w:pPr>
            <w:r w:rsidRPr="00BE704E">
              <w:rPr>
                <w:rFonts w:eastAsia="Avenir Next LT Pro" w:cs="Avenir Next LT Pro"/>
              </w:rPr>
              <w:t>Sistemas de recomendación que faciliten el emparejamiento entre moradores-propietarios y empresarios.</w:t>
            </w:r>
          </w:p>
        </w:tc>
      </w:tr>
    </w:tbl>
    <w:p w14:paraId="64E4F1E5" w14:textId="77777777" w:rsidR="00E871DD" w:rsidRPr="008E7A5B" w:rsidRDefault="00E871DD" w:rsidP="00AD59F4">
      <w:pPr>
        <w:rPr>
          <w:rFonts w:eastAsia="Avenir Next LT Pro" w:cs="Arial"/>
          <w:b/>
          <w:bCs/>
          <w:sz w:val="32"/>
          <w:szCs w:val="32"/>
        </w:rPr>
      </w:pPr>
    </w:p>
    <w:sectPr w:rsidR="00E871DD" w:rsidRPr="008E7A5B" w:rsidSect="0026167B">
      <w:headerReference w:type="default" r:id="rId14"/>
      <w:pgSz w:w="12242" w:h="15842" w:code="1"/>
      <w:pgMar w:top="1418" w:right="567" w:bottom="567" w:left="567" w:header="0"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ose Gabriel Perdomo Guzman" w:date="2025-08-13T10:18:00Z" w:initials="JG">
    <w:p w14:paraId="1FA308EB" w14:textId="77777777" w:rsidR="00FA50BA" w:rsidRDefault="00FA50BA">
      <w:r>
        <w:annotationRef/>
      </w:r>
      <w:r w:rsidRPr="6D8734DF">
        <w:t>Por establecer si precisamos ámbitos.</w:t>
      </w:r>
    </w:p>
  </w:comment>
  <w:comment w:id="1" w:author="Natalia Ramirez Munoz" w:date="2025-06-26T10:48:00Z" w:initials="NM">
    <w:p w14:paraId="01B44147" w14:textId="77777777" w:rsidR="00FC3A96" w:rsidRDefault="00FC3A96">
      <w:pPr>
        <w:pStyle w:val="Textocomentario"/>
      </w:pPr>
      <w:r>
        <w:rPr>
          <w:rStyle w:val="Refdecomentario"/>
        </w:rPr>
        <w:annotationRef/>
      </w:r>
      <w:r w:rsidRPr="37CB4660">
        <w:t xml:space="preserve">Creo que en aras de hacer más claro el proceso para los solucionadores, vale la pena definir de manera más clara de qué se trata la reconversión en sí misma. </w:t>
      </w:r>
    </w:p>
  </w:comment>
  <w:comment w:id="2" w:author="Maria Camila Lozano Morales" w:date="2025-07-16T13:43:00Z" w:initials="MM">
    <w:p w14:paraId="7B390307" w14:textId="77777777" w:rsidR="00FC3A96" w:rsidRDefault="00FC3A96">
      <w:r>
        <w:annotationRef/>
      </w:r>
      <w:r w:rsidRPr="622D3031">
        <w:t xml:space="preserve">Ajusté el párrafo anterior para hacerlo más explícito </w:t>
      </w:r>
    </w:p>
  </w:comment>
  <w:comment w:id="3" w:author="Gabriel Andres Millan Guayacundo" w:date="2025-08-11T08:41:00Z" w:initials="GG">
    <w:p w14:paraId="55361343" w14:textId="77777777" w:rsidR="00FC3A96" w:rsidRDefault="00FC3A96">
      <w:pPr>
        <w:pStyle w:val="Textocomentario"/>
      </w:pPr>
      <w:r>
        <w:rPr>
          <w:rStyle w:val="Refdecomentario"/>
        </w:rPr>
        <w:annotationRef/>
      </w:r>
      <w:r w:rsidRPr="76622B9F">
        <w:t>Poner el acto administrativo de la adopción de la AEDAE</w:t>
      </w:r>
    </w:p>
  </w:comment>
  <w:comment w:id="4" w:author="Maria Camila Lozano Morales" w:date="2025-06-25T18:33:00Z" w:initials="MM">
    <w:p w14:paraId="168DDB84" w14:textId="77777777" w:rsidR="00FC3A96" w:rsidRDefault="00FC3A96">
      <w:pPr>
        <w:pStyle w:val="Textocomentario"/>
      </w:pPr>
      <w:r>
        <w:rPr>
          <w:rStyle w:val="Refdecomentario"/>
        </w:rPr>
        <w:annotationRef/>
      </w:r>
      <w:r w:rsidRPr="7C0EC82C">
        <w:t xml:space="preserve">Esto por que en el blueprint nos mencionaron que el tema de los reconocimientos es importante en términos de información y equilibrio de poder entre los moradores y los inversionistas. O eso se presume. </w:t>
      </w:r>
    </w:p>
  </w:comment>
  <w:comment w:id="5" w:author="Natalia Ramirez Munoz" w:date="2025-07-29T16:13:00Z" w:initials="NM">
    <w:p w14:paraId="5B2B1930" w14:textId="77777777" w:rsidR="00FC3A96" w:rsidRDefault="00FC3A96">
      <w:pPr>
        <w:pStyle w:val="Textocomentario"/>
      </w:pPr>
      <w:r>
        <w:rPr>
          <w:rStyle w:val="Refdecomentario"/>
        </w:rPr>
        <w:annotationRef/>
      </w:r>
      <w:r w:rsidRPr="70BDD6B1">
        <w:t xml:space="preserve">Validar si el árbol es una herramienta pública y de fácil acceso, de lo contrario sugiero cambiar la redacción así " </w:t>
      </w:r>
      <w:r w:rsidRPr="4E91AFB2">
        <w:rPr>
          <w:i/>
          <w:iCs/>
        </w:rPr>
        <w:t>y se han consolidado diferentes instrumentos que permiten...</w:t>
      </w:r>
      <w:r w:rsidRPr="1CB741D9">
        <w:t>"</w:t>
      </w:r>
    </w:p>
  </w:comment>
  <w:comment w:id="6" w:author="Maria Camila Lozano Morales" w:date="2025-08-01T10:15:00Z" w:initials="MM">
    <w:p w14:paraId="1F723628" w14:textId="77777777" w:rsidR="00FC3A96" w:rsidRDefault="00FC3A96">
      <w:pPr>
        <w:pStyle w:val="Textocomentario"/>
      </w:pPr>
      <w:r>
        <w:rPr>
          <w:rStyle w:val="Refdecomentario"/>
        </w:rPr>
        <w:annotationRef/>
      </w:r>
      <w:r w:rsidRPr="75196CC2">
        <w:t xml:space="preserve">No es pública, es una herramienta interna que construyeron para ir entendiendo las opciones de asociatividad. Lo modifiqué para que sea claro </w:t>
      </w:r>
    </w:p>
  </w:comment>
  <w:comment w:id="7" w:author="Maria Camila Lozano Morales" w:date="2025-06-25T18:46:00Z" w:initials="MM">
    <w:p w14:paraId="7B946FB3" w14:textId="77777777" w:rsidR="00FC3A96" w:rsidRDefault="00FC3A96">
      <w:pPr>
        <w:pStyle w:val="Textocomentario"/>
      </w:pPr>
      <w:r>
        <w:rPr>
          <w:rStyle w:val="Refdecomentario"/>
        </w:rPr>
        <w:annotationRef/>
      </w:r>
      <w:r w:rsidRPr="4EAF7E11">
        <w:t>Complementar luego con la perspectiva de oportunidad que ve SDDE</w:t>
      </w:r>
    </w:p>
  </w:comment>
  <w:comment w:id="8" w:author="Maria Camila Lozano Morales" w:date="2025-07-16T13:44:00Z" w:initials="MM">
    <w:p w14:paraId="088E17B3" w14:textId="77777777" w:rsidR="00FC3A96" w:rsidRDefault="00FC3A96">
      <w:r>
        <w:annotationRef/>
      </w:r>
      <w:r w:rsidRPr="4145C8FF">
        <w:t>Se complementa más adelante con la información obtenida de JLL</w:t>
      </w:r>
    </w:p>
  </w:comment>
  <w:comment w:id="9" w:author="Maria Camila Lozano Morales" w:date="2025-08-01T11:44:00Z" w:initials="MM">
    <w:p w14:paraId="4E2FD045" w14:textId="77777777" w:rsidR="00FC3A96" w:rsidRDefault="00FC3A96">
      <w:pPr>
        <w:pStyle w:val="Textocomentario"/>
      </w:pPr>
      <w:r>
        <w:rPr>
          <w:rStyle w:val="Refdecomentario"/>
        </w:rPr>
        <w:annotationRef/>
      </w:r>
      <w:r w:rsidRPr="5319AEBD">
        <w:t xml:space="preserve">Sugiero eliminar esto porque creo que nos hace más ruido del necesario en las condiciones del modelo. El reconocimiento no es un impedimento para el aprovechamiento del predio en un negocio asociativo. El morador debería conocer sus posibilidades sin que esto los limite. </w:t>
      </w:r>
    </w:p>
  </w:comment>
  <w:comment w:id="10" w:author="Maria Camila Lozano Morales" w:date="2025-06-25T18:50:00Z" w:initials="MM">
    <w:p w14:paraId="1B55C148" w14:textId="77777777" w:rsidR="00FC3A96" w:rsidRDefault="00FC3A96">
      <w:pPr>
        <w:pStyle w:val="Textocomentario"/>
      </w:pPr>
      <w:r>
        <w:rPr>
          <w:rStyle w:val="Refdecomentario"/>
        </w:rPr>
        <w:annotationRef/>
      </w:r>
      <w:r w:rsidRPr="48F47308">
        <w:t>Validar con el equipo SPLO</w:t>
      </w:r>
    </w:p>
  </w:comment>
  <w:comment w:id="11" w:author="Maria Camila Lozano Morales" w:date="2025-07-17T04:31:00Z" w:initials="MM">
    <w:p w14:paraId="43E4B54E" w14:textId="77777777" w:rsidR="00FC3A96" w:rsidRDefault="00FC3A96">
      <w:pPr>
        <w:pStyle w:val="Textocomentario"/>
      </w:pPr>
      <w:r>
        <w:rPr>
          <w:rStyle w:val="Refdecomentario"/>
        </w:rPr>
        <w:annotationRef/>
      </w:r>
      <w:r w:rsidRPr="3BBFC64F">
        <w:t>Tipos de desarrollo identificados como posibles: especulativo, pequeña oferta y contra demanda (grandes).  </w:t>
      </w:r>
    </w:p>
  </w:comment>
  <w:comment w:id="12" w:author="Maria Camila Lozano Morales" w:date="2025-08-01T11:58:00Z" w:initials="MM">
    <w:p w14:paraId="380C5C7C" w14:textId="77777777" w:rsidR="00FC3A96" w:rsidRDefault="00FC3A96">
      <w:pPr>
        <w:pStyle w:val="Textocomentario"/>
      </w:pPr>
      <w:r>
        <w:rPr>
          <w:rStyle w:val="Refdecomentario"/>
        </w:rPr>
        <w:annotationRef/>
      </w:r>
      <w:r w:rsidRPr="59F10179">
        <w:t xml:space="preserve">Esto es lograble? </w:t>
      </w:r>
    </w:p>
  </w:comment>
  <w:comment w:id="13" w:author="Gabriel Andres Millan Guayacundo" w:date="2025-08-11T08:57:00Z" w:initials="GG">
    <w:p w14:paraId="4D44D125" w14:textId="77777777" w:rsidR="00FC3A96" w:rsidRDefault="00FC3A96" w:rsidP="00FC3A96">
      <w:pPr>
        <w:pStyle w:val="Textocomentario"/>
      </w:pPr>
      <w:r>
        <w:rPr>
          <w:rStyle w:val="Refdecomentario"/>
        </w:rPr>
        <w:annotationRef/>
      </w:r>
      <w:r w:rsidRPr="6D5C14C8">
        <w:t>No en tiempo real. La gente está pensando en todo momento y capturar esa info es imposible.</w:t>
      </w:r>
    </w:p>
    <w:p w14:paraId="641858F2" w14:textId="77777777" w:rsidR="00FC3A96" w:rsidRDefault="00FC3A96" w:rsidP="00FC3A96">
      <w:pPr>
        <w:pStyle w:val="Textocomentario"/>
      </w:pPr>
      <w:r w:rsidRPr="736C740D">
        <w:t>Pero sí deberíamos apuntarle a tener percepciones actualizadas con cierta temporalidad.</w:t>
      </w:r>
    </w:p>
  </w:comment>
  <w:comment w:id="14" w:author="Natalia Ramirez Munoz" w:date="2025-07-30T22:22:00Z" w:initials="NM">
    <w:p w14:paraId="322166E2" w14:textId="77777777" w:rsidR="00795C04" w:rsidRDefault="00795C04">
      <w:pPr>
        <w:pStyle w:val="Textocomentario"/>
      </w:pPr>
      <w:r>
        <w:rPr>
          <w:rStyle w:val="Refdecomentario"/>
        </w:rPr>
        <w:annotationRef/>
      </w:r>
      <w:r w:rsidRPr="6FB1D8B4">
        <w:t>¿les parece mejor hablar de empresarios?</w:t>
      </w:r>
    </w:p>
  </w:comment>
  <w:comment w:id="15" w:author="Maria Camila Lozano Morales" w:date="2025-08-03T11:06:00Z" w:initials="MM">
    <w:p w14:paraId="4674B202" w14:textId="77777777" w:rsidR="00795C04" w:rsidRDefault="00795C04">
      <w:pPr>
        <w:pStyle w:val="Textocomentario"/>
      </w:pPr>
      <w:r>
        <w:rPr>
          <w:rStyle w:val="Refdecomentario"/>
        </w:rPr>
        <w:annotationRef/>
      </w:r>
      <w:r w:rsidRPr="6EB4F599">
        <w:t>Si, suena muy enredado. Ajusto</w:t>
      </w:r>
    </w:p>
  </w:comment>
  <w:comment w:id="16" w:author="Natalia Ramirez Munoz" w:date="2025-07-30T22:22:00Z" w:initials="NM">
    <w:p w14:paraId="05DDE2A1" w14:textId="77777777" w:rsidR="00795C04" w:rsidRDefault="00795C04">
      <w:pPr>
        <w:pStyle w:val="Textocomentario"/>
      </w:pPr>
      <w:r>
        <w:rPr>
          <w:rStyle w:val="Refdecomentario"/>
        </w:rPr>
        <w:annotationRef/>
      </w:r>
      <w:r w:rsidRPr="1679ACC2">
        <w:t>¿Los eliminamos en la medida de que cambió el reto?</w:t>
      </w:r>
    </w:p>
  </w:comment>
  <w:comment w:id="17" w:author="Maria Camila Lozano Morales" w:date="2025-08-03T11:11:00Z" w:initials="MM">
    <w:p w14:paraId="2C4BDD2E" w14:textId="77777777" w:rsidR="00795C04" w:rsidRDefault="00795C04">
      <w:pPr>
        <w:pStyle w:val="Textocomentario"/>
      </w:pPr>
      <w:r>
        <w:rPr>
          <w:rStyle w:val="Refdecomentario"/>
        </w:rPr>
        <w:annotationRef/>
      </w:r>
      <w:r w:rsidRPr="738BB0EF">
        <w:t xml:space="preserve">Me parece que es un actor que puede ser clave para el desarrollador principalmente. Podemos dejarlos juntos. Hago el ajuste </w:t>
      </w:r>
    </w:p>
  </w:comment>
  <w:comment w:id="18" w:author="Maria Camila Lozano Morales" w:date="2025-07-17T11:07:00Z" w:initials="MM">
    <w:p w14:paraId="46189348" w14:textId="77777777" w:rsidR="00173BEF" w:rsidRDefault="00173BEF">
      <w:r>
        <w:annotationRef/>
      </w:r>
      <w:r w:rsidRPr="5DFB3A9C">
        <w:t xml:space="preserve">Tiene sentido que pensemos no en la ciudad si no frente a los otros submercados, incluyendo Sabana? </w:t>
      </w:r>
    </w:p>
  </w:comment>
  <w:comment w:id="19" w:author="Reinaldo Torres Nunez" w:date="2025-08-13T21:07:00Z" w:initials="RN">
    <w:p w14:paraId="37D6F9EA" w14:textId="77777777" w:rsidR="00173BEF" w:rsidRDefault="00173BEF" w:rsidP="00173BEF">
      <w:r>
        <w:annotationRef/>
      </w:r>
      <w:r w:rsidRPr="17BBA3B1">
        <w:t xml:space="preserve">Propuesta para su consideración. </w:t>
      </w:r>
    </w:p>
    <w:p w14:paraId="4D3E47CB" w14:textId="77777777" w:rsidR="00173BEF" w:rsidRDefault="00173BEF" w:rsidP="00173BEF">
      <w:r w:rsidRPr="4C08890B">
        <w:t xml:space="preserve">i. convertirlo en un Índice de especialización -&gt; cambiar Número por porcentaje. </w:t>
      </w:r>
    </w:p>
    <w:p w14:paraId="69552304" w14:textId="77777777" w:rsidR="00173BEF" w:rsidRDefault="00173BEF" w:rsidP="00173BEF">
      <w:r w:rsidRPr="4C03C677">
        <w:t xml:space="preserve">ii. Que tal si el denominador es el porcentaje en los ámbitos de las AEs (de toda la ciudad)? </w:t>
      </w:r>
    </w:p>
    <w:p w14:paraId="022D3C5B" w14:textId="77777777" w:rsidR="00173BEF" w:rsidRDefault="00173BEF" w:rsidP="00173BEF"/>
    <w:p w14:paraId="1C7111C1" w14:textId="77777777" w:rsidR="00173BEF" w:rsidRDefault="00173BEF" w:rsidP="00173BEF">
      <w:r w:rsidRPr="0AE0A3C8">
        <w:t xml:space="preserve">Razonamiento: creemos que así podemos medir mejor el grado de especialización. </w:t>
      </w:r>
    </w:p>
  </w:comment>
  <w:comment w:id="20" w:author="Maria Camila Lozano Morales" w:date="2025-07-17T11:12:00Z" w:initials="MM">
    <w:p w14:paraId="38C2D06A" w14:textId="77777777" w:rsidR="00173BEF" w:rsidRDefault="00173BEF">
      <w:r>
        <w:annotationRef/>
      </w:r>
      <w:r w:rsidRPr="4BE64AF6">
        <w:t>¿O por submercados?</w:t>
      </w:r>
    </w:p>
  </w:comment>
  <w:comment w:id="21" w:author="Reinaldo Torres Nunez" w:date="2025-08-13T21:12:00Z" w:initials="RN">
    <w:p w14:paraId="24C23EF0" w14:textId="77777777" w:rsidR="00173BEF" w:rsidRDefault="00173BEF">
      <w:r>
        <w:annotationRef/>
      </w:r>
      <w:r w:rsidRPr="2D6EFD5D">
        <w:t xml:space="preserve">Ver comentario anterior.  </w:t>
      </w:r>
    </w:p>
  </w:comment>
  <w:comment w:id="22" w:author="Maria Camila Lozano Morales" w:date="2025-09-01T14:37:00Z" w:initials="MM">
    <w:p w14:paraId="306F717E" w14:textId="77777777" w:rsidR="0057131E" w:rsidRDefault="0057131E">
      <w:r>
        <w:annotationRef/>
      </w:r>
      <w:r w:rsidRPr="1E70504B">
        <w:t xml:space="preserve">verificar el nombre exacto el registro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FA308EB" w15:done="1"/>
  <w15:commentEx w15:paraId="01B44147" w15:done="1"/>
  <w15:commentEx w15:paraId="7B390307" w15:paraIdParent="01B44147" w15:done="1"/>
  <w15:commentEx w15:paraId="55361343" w15:done="1"/>
  <w15:commentEx w15:paraId="168DDB84" w15:done="1"/>
  <w15:commentEx w15:paraId="5B2B1930" w15:done="1"/>
  <w15:commentEx w15:paraId="1F723628" w15:paraIdParent="5B2B1930" w15:done="1"/>
  <w15:commentEx w15:paraId="7B946FB3" w15:done="1"/>
  <w15:commentEx w15:paraId="088E17B3" w15:paraIdParent="7B946FB3" w15:done="1"/>
  <w15:commentEx w15:paraId="4E2FD045" w15:done="1"/>
  <w15:commentEx w15:paraId="1B55C148" w15:done="1"/>
  <w15:commentEx w15:paraId="43E4B54E" w15:done="1"/>
  <w15:commentEx w15:paraId="380C5C7C" w15:done="1"/>
  <w15:commentEx w15:paraId="641858F2" w15:paraIdParent="380C5C7C" w15:done="1"/>
  <w15:commentEx w15:paraId="322166E2" w15:done="1"/>
  <w15:commentEx w15:paraId="4674B202" w15:paraIdParent="322166E2" w15:done="1"/>
  <w15:commentEx w15:paraId="05DDE2A1" w15:done="1"/>
  <w15:commentEx w15:paraId="2C4BDD2E" w15:paraIdParent="05DDE2A1" w15:done="1"/>
  <w15:commentEx w15:paraId="46189348" w15:done="1"/>
  <w15:commentEx w15:paraId="1C7111C1" w15:paraIdParent="46189348" w15:done="1"/>
  <w15:commentEx w15:paraId="38C2D06A" w15:done="1"/>
  <w15:commentEx w15:paraId="24C23EF0" w15:paraIdParent="38C2D06A" w15:done="1"/>
  <w15:commentEx w15:paraId="306F717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439AB49" w16cex:dateUtc="2025-08-13T15:18:00Z"/>
  <w16cex:commentExtensible w16cex:durableId="3DC2F212" w16cex:dateUtc="2025-06-26T15:48:00Z"/>
  <w16cex:commentExtensible w16cex:durableId="555B278D" w16cex:dateUtc="2025-07-16T18:43:00Z"/>
  <w16cex:commentExtensible w16cex:durableId="5B51E54D" w16cex:dateUtc="2025-08-11T13:41:00Z"/>
  <w16cex:commentExtensible w16cex:durableId="31499091" w16cex:dateUtc="2025-06-25T23:33:00Z"/>
  <w16cex:commentExtensible w16cex:durableId="2EE4AD8A" w16cex:dateUtc="2025-07-29T21:13:00Z"/>
  <w16cex:commentExtensible w16cex:durableId="1FA04419" w16cex:dateUtc="2025-08-01T15:15:00Z"/>
  <w16cex:commentExtensible w16cex:durableId="5CA115A8" w16cex:dateUtc="2025-06-25T23:46:00Z"/>
  <w16cex:commentExtensible w16cex:durableId="075A9D89" w16cex:dateUtc="2025-07-16T18:44:00Z"/>
  <w16cex:commentExtensible w16cex:durableId="4B8FDC20" w16cex:dateUtc="2025-08-01T16:44:00Z"/>
  <w16cex:commentExtensible w16cex:durableId="44E7D062" w16cex:dateUtc="2025-06-25T23:50:00Z"/>
  <w16cex:commentExtensible w16cex:durableId="78B5725F" w16cex:dateUtc="2025-07-17T16:31:00Z"/>
  <w16cex:commentExtensible w16cex:durableId="7FC1988A" w16cex:dateUtc="2025-08-01T16:58:00Z"/>
  <w16cex:commentExtensible w16cex:durableId="3B27EE10" w16cex:dateUtc="2025-08-11T13:57:00Z"/>
  <w16cex:commentExtensible w16cex:durableId="6CBFC3BD" w16cex:dateUtc="2025-07-31T03:22:00Z"/>
  <w16cex:commentExtensible w16cex:durableId="353EA5C4" w16cex:dateUtc="2025-08-03T16:06:00Z"/>
  <w16cex:commentExtensible w16cex:durableId="6864037E" w16cex:dateUtc="2025-07-31T03:22:00Z"/>
  <w16cex:commentExtensible w16cex:durableId="2E3C181B" w16cex:dateUtc="2025-08-03T16:11:00Z"/>
  <w16cex:commentExtensible w16cex:durableId="023FD364" w16cex:dateUtc="2025-07-17T16:07:00Z"/>
  <w16cex:commentExtensible w16cex:durableId="7D423B99" w16cex:dateUtc="2025-08-14T02:07:00Z"/>
  <w16cex:commentExtensible w16cex:durableId="5301CDF6" w16cex:dateUtc="2025-07-17T16:12:00Z"/>
  <w16cex:commentExtensible w16cex:durableId="0112FCE2" w16cex:dateUtc="2025-08-14T02:12:00Z"/>
  <w16cex:commentExtensible w16cex:durableId="18C726CA" w16cex:dateUtc="2025-09-01T1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A308EB" w16cid:durableId="0439AB49"/>
  <w16cid:commentId w16cid:paraId="01B44147" w16cid:durableId="3DC2F212"/>
  <w16cid:commentId w16cid:paraId="7B390307" w16cid:durableId="555B278D"/>
  <w16cid:commentId w16cid:paraId="55361343" w16cid:durableId="5B51E54D"/>
  <w16cid:commentId w16cid:paraId="168DDB84" w16cid:durableId="31499091"/>
  <w16cid:commentId w16cid:paraId="5B2B1930" w16cid:durableId="2EE4AD8A"/>
  <w16cid:commentId w16cid:paraId="1F723628" w16cid:durableId="1FA04419"/>
  <w16cid:commentId w16cid:paraId="7B946FB3" w16cid:durableId="5CA115A8"/>
  <w16cid:commentId w16cid:paraId="088E17B3" w16cid:durableId="075A9D89"/>
  <w16cid:commentId w16cid:paraId="4E2FD045" w16cid:durableId="4B8FDC20"/>
  <w16cid:commentId w16cid:paraId="1B55C148" w16cid:durableId="44E7D062"/>
  <w16cid:commentId w16cid:paraId="43E4B54E" w16cid:durableId="78B5725F"/>
  <w16cid:commentId w16cid:paraId="380C5C7C" w16cid:durableId="7FC1988A"/>
  <w16cid:commentId w16cid:paraId="641858F2" w16cid:durableId="3B27EE10"/>
  <w16cid:commentId w16cid:paraId="322166E2" w16cid:durableId="6CBFC3BD"/>
  <w16cid:commentId w16cid:paraId="4674B202" w16cid:durableId="353EA5C4"/>
  <w16cid:commentId w16cid:paraId="05DDE2A1" w16cid:durableId="6864037E"/>
  <w16cid:commentId w16cid:paraId="2C4BDD2E" w16cid:durableId="2E3C181B"/>
  <w16cid:commentId w16cid:paraId="46189348" w16cid:durableId="023FD364"/>
  <w16cid:commentId w16cid:paraId="1C7111C1" w16cid:durableId="7D423B99"/>
  <w16cid:commentId w16cid:paraId="38C2D06A" w16cid:durableId="5301CDF6"/>
  <w16cid:commentId w16cid:paraId="24C23EF0" w16cid:durableId="0112FCE2"/>
  <w16cid:commentId w16cid:paraId="306F717E" w16cid:durableId="18C726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78B07" w14:textId="77777777" w:rsidR="00AA14DC" w:rsidRDefault="00AA14DC" w:rsidP="00D5587E">
      <w:pPr>
        <w:spacing w:after="0" w:line="240" w:lineRule="auto"/>
      </w:pPr>
      <w:r>
        <w:separator/>
      </w:r>
    </w:p>
  </w:endnote>
  <w:endnote w:type="continuationSeparator" w:id="0">
    <w:p w14:paraId="2EAC3552" w14:textId="77777777" w:rsidR="00AA14DC" w:rsidRDefault="00AA14DC" w:rsidP="00D55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osis">
    <w:charset w:val="00"/>
    <w:family w:val="auto"/>
    <w:pitch w:val="variable"/>
    <w:sig w:usb0="A00000BF" w:usb1="4000207B" w:usb2="00000000" w:usb3="00000000" w:csb0="00000093" w:csb1="00000000"/>
  </w:font>
  <w:font w:name="Aptos Display">
    <w:charset w:val="00"/>
    <w:family w:val="swiss"/>
    <w:pitch w:val="variable"/>
    <w:sig w:usb0="20000287" w:usb1="00000003" w:usb2="00000000" w:usb3="00000000" w:csb0="0000019F" w:csb1="00000000"/>
  </w:font>
  <w:font w:name="Avenir Next LT Pro">
    <w:charset w:val="00"/>
    <w:family w:val="swiss"/>
    <w:pitch w:val="variable"/>
    <w:sig w:usb0="800000E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59170" w14:textId="77777777" w:rsidR="00AA14DC" w:rsidRDefault="00AA14DC" w:rsidP="00D5587E">
      <w:pPr>
        <w:spacing w:after="0" w:line="240" w:lineRule="auto"/>
      </w:pPr>
      <w:r>
        <w:separator/>
      </w:r>
    </w:p>
  </w:footnote>
  <w:footnote w:type="continuationSeparator" w:id="0">
    <w:p w14:paraId="681FFADB" w14:textId="77777777" w:rsidR="00AA14DC" w:rsidRDefault="00AA14DC" w:rsidP="00D558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C334C" w14:textId="57FC491C" w:rsidR="00D5587E" w:rsidRDefault="00D5587E" w:rsidP="004D21A3">
    <w:pPr>
      <w:pStyle w:val="Encabezado"/>
      <w:ind w:left="-567"/>
    </w:pPr>
    <w:r>
      <w:rPr>
        <w:noProof/>
      </w:rPr>
      <w:drawing>
        <wp:inline distT="0" distB="0" distL="0" distR="0" wp14:anchorId="0DC67D7D" wp14:editId="43172988">
          <wp:extent cx="7797558" cy="1865297"/>
          <wp:effectExtent l="0" t="0" r="0" b="1905"/>
          <wp:docPr id="16398306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830659"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797558" cy="186529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942"/>
    <w:multiLevelType w:val="multilevel"/>
    <w:tmpl w:val="0F4C5820"/>
    <w:lvl w:ilvl="0">
      <w:start w:val="1"/>
      <w:numFmt w:val="bullet"/>
      <w:lvlText w:val=""/>
      <w:lvlJc w:val="left"/>
      <w:pPr>
        <w:tabs>
          <w:tab w:val="num" w:pos="-1299"/>
        </w:tabs>
        <w:ind w:left="-1299" w:hanging="360"/>
      </w:pPr>
      <w:rPr>
        <w:rFonts w:ascii="Symbol" w:hAnsi="Symbol" w:hint="default"/>
        <w:sz w:val="20"/>
      </w:rPr>
    </w:lvl>
    <w:lvl w:ilvl="1" w:tentative="1">
      <w:start w:val="1"/>
      <w:numFmt w:val="bullet"/>
      <w:lvlText w:val="o"/>
      <w:lvlJc w:val="left"/>
      <w:pPr>
        <w:tabs>
          <w:tab w:val="num" w:pos="-579"/>
        </w:tabs>
        <w:ind w:left="-579" w:hanging="360"/>
      </w:pPr>
      <w:rPr>
        <w:rFonts w:ascii="Courier New" w:hAnsi="Courier New" w:hint="default"/>
        <w:sz w:val="20"/>
      </w:rPr>
    </w:lvl>
    <w:lvl w:ilvl="2" w:tentative="1">
      <w:start w:val="1"/>
      <w:numFmt w:val="bullet"/>
      <w:lvlText w:val=""/>
      <w:lvlJc w:val="left"/>
      <w:pPr>
        <w:tabs>
          <w:tab w:val="num" w:pos="141"/>
        </w:tabs>
        <w:ind w:left="141" w:hanging="360"/>
      </w:pPr>
      <w:rPr>
        <w:rFonts w:ascii="Wingdings" w:hAnsi="Wingdings" w:hint="default"/>
        <w:sz w:val="20"/>
      </w:rPr>
    </w:lvl>
    <w:lvl w:ilvl="3" w:tentative="1">
      <w:start w:val="1"/>
      <w:numFmt w:val="bullet"/>
      <w:lvlText w:val=""/>
      <w:lvlJc w:val="left"/>
      <w:pPr>
        <w:tabs>
          <w:tab w:val="num" w:pos="861"/>
        </w:tabs>
        <w:ind w:left="861" w:hanging="360"/>
      </w:pPr>
      <w:rPr>
        <w:rFonts w:ascii="Wingdings" w:hAnsi="Wingdings" w:hint="default"/>
        <w:sz w:val="20"/>
      </w:rPr>
    </w:lvl>
    <w:lvl w:ilvl="4" w:tentative="1">
      <w:start w:val="1"/>
      <w:numFmt w:val="bullet"/>
      <w:lvlText w:val=""/>
      <w:lvlJc w:val="left"/>
      <w:pPr>
        <w:tabs>
          <w:tab w:val="num" w:pos="1581"/>
        </w:tabs>
        <w:ind w:left="1581" w:hanging="360"/>
      </w:pPr>
      <w:rPr>
        <w:rFonts w:ascii="Wingdings" w:hAnsi="Wingdings" w:hint="default"/>
        <w:sz w:val="20"/>
      </w:rPr>
    </w:lvl>
    <w:lvl w:ilvl="5" w:tentative="1">
      <w:start w:val="1"/>
      <w:numFmt w:val="bullet"/>
      <w:lvlText w:val=""/>
      <w:lvlJc w:val="left"/>
      <w:pPr>
        <w:tabs>
          <w:tab w:val="num" w:pos="2301"/>
        </w:tabs>
        <w:ind w:left="2301" w:hanging="360"/>
      </w:pPr>
      <w:rPr>
        <w:rFonts w:ascii="Wingdings" w:hAnsi="Wingdings" w:hint="default"/>
        <w:sz w:val="20"/>
      </w:rPr>
    </w:lvl>
    <w:lvl w:ilvl="6" w:tentative="1">
      <w:start w:val="1"/>
      <w:numFmt w:val="bullet"/>
      <w:lvlText w:val=""/>
      <w:lvlJc w:val="left"/>
      <w:pPr>
        <w:tabs>
          <w:tab w:val="num" w:pos="3021"/>
        </w:tabs>
        <w:ind w:left="3021" w:hanging="360"/>
      </w:pPr>
      <w:rPr>
        <w:rFonts w:ascii="Wingdings" w:hAnsi="Wingdings" w:hint="default"/>
        <w:sz w:val="20"/>
      </w:rPr>
    </w:lvl>
    <w:lvl w:ilvl="7" w:tentative="1">
      <w:start w:val="1"/>
      <w:numFmt w:val="bullet"/>
      <w:lvlText w:val=""/>
      <w:lvlJc w:val="left"/>
      <w:pPr>
        <w:tabs>
          <w:tab w:val="num" w:pos="3741"/>
        </w:tabs>
        <w:ind w:left="3741" w:hanging="360"/>
      </w:pPr>
      <w:rPr>
        <w:rFonts w:ascii="Wingdings" w:hAnsi="Wingdings" w:hint="default"/>
        <w:sz w:val="20"/>
      </w:rPr>
    </w:lvl>
    <w:lvl w:ilvl="8" w:tentative="1">
      <w:start w:val="1"/>
      <w:numFmt w:val="bullet"/>
      <w:lvlText w:val=""/>
      <w:lvlJc w:val="left"/>
      <w:pPr>
        <w:tabs>
          <w:tab w:val="num" w:pos="4461"/>
        </w:tabs>
        <w:ind w:left="4461" w:hanging="360"/>
      </w:pPr>
      <w:rPr>
        <w:rFonts w:ascii="Wingdings" w:hAnsi="Wingdings" w:hint="default"/>
        <w:sz w:val="20"/>
      </w:rPr>
    </w:lvl>
  </w:abstractNum>
  <w:abstractNum w:abstractNumId="1" w15:restartNumberingAfterBreak="0">
    <w:nsid w:val="0176BA74"/>
    <w:multiLevelType w:val="hybridMultilevel"/>
    <w:tmpl w:val="4A389C62"/>
    <w:lvl w:ilvl="0" w:tplc="F7C4DC26">
      <w:start w:val="1"/>
      <w:numFmt w:val="decimal"/>
      <w:lvlText w:val="%1."/>
      <w:lvlJc w:val="left"/>
      <w:pPr>
        <w:ind w:left="360" w:hanging="360"/>
      </w:pPr>
    </w:lvl>
    <w:lvl w:ilvl="1" w:tplc="4BE6241E">
      <w:start w:val="1"/>
      <w:numFmt w:val="lowerLetter"/>
      <w:lvlText w:val="%2."/>
      <w:lvlJc w:val="left"/>
      <w:pPr>
        <w:ind w:left="1080" w:hanging="360"/>
      </w:pPr>
    </w:lvl>
    <w:lvl w:ilvl="2" w:tplc="06A2EEE2">
      <w:start w:val="1"/>
      <w:numFmt w:val="lowerRoman"/>
      <w:lvlText w:val="%3."/>
      <w:lvlJc w:val="right"/>
      <w:pPr>
        <w:ind w:left="1800" w:hanging="180"/>
      </w:pPr>
    </w:lvl>
    <w:lvl w:ilvl="3" w:tplc="16CCD350">
      <w:start w:val="1"/>
      <w:numFmt w:val="decimal"/>
      <w:lvlText w:val="%4."/>
      <w:lvlJc w:val="left"/>
      <w:pPr>
        <w:ind w:left="2520" w:hanging="360"/>
      </w:pPr>
    </w:lvl>
    <w:lvl w:ilvl="4" w:tplc="3BB60BC6">
      <w:start w:val="1"/>
      <w:numFmt w:val="lowerLetter"/>
      <w:lvlText w:val="%5."/>
      <w:lvlJc w:val="left"/>
      <w:pPr>
        <w:ind w:left="3240" w:hanging="360"/>
      </w:pPr>
    </w:lvl>
    <w:lvl w:ilvl="5" w:tplc="F28447B8">
      <w:start w:val="1"/>
      <w:numFmt w:val="lowerRoman"/>
      <w:lvlText w:val="%6."/>
      <w:lvlJc w:val="right"/>
      <w:pPr>
        <w:ind w:left="3960" w:hanging="180"/>
      </w:pPr>
    </w:lvl>
    <w:lvl w:ilvl="6" w:tplc="BEC6283E">
      <w:start w:val="1"/>
      <w:numFmt w:val="decimal"/>
      <w:lvlText w:val="%7."/>
      <w:lvlJc w:val="left"/>
      <w:pPr>
        <w:ind w:left="4680" w:hanging="360"/>
      </w:pPr>
    </w:lvl>
    <w:lvl w:ilvl="7" w:tplc="4316FCEE">
      <w:start w:val="1"/>
      <w:numFmt w:val="lowerLetter"/>
      <w:lvlText w:val="%8."/>
      <w:lvlJc w:val="left"/>
      <w:pPr>
        <w:ind w:left="5400" w:hanging="360"/>
      </w:pPr>
    </w:lvl>
    <w:lvl w:ilvl="8" w:tplc="DA8CA5F0">
      <w:start w:val="1"/>
      <w:numFmt w:val="lowerRoman"/>
      <w:lvlText w:val="%9."/>
      <w:lvlJc w:val="right"/>
      <w:pPr>
        <w:ind w:left="6120" w:hanging="180"/>
      </w:pPr>
    </w:lvl>
  </w:abstractNum>
  <w:abstractNum w:abstractNumId="2" w15:restartNumberingAfterBreak="0">
    <w:nsid w:val="035032EE"/>
    <w:multiLevelType w:val="multilevel"/>
    <w:tmpl w:val="43AC9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1C122F"/>
    <w:multiLevelType w:val="hybridMultilevel"/>
    <w:tmpl w:val="12F0FE82"/>
    <w:lvl w:ilvl="0" w:tplc="70CA6B52">
      <w:start w:val="1"/>
      <w:numFmt w:val="bullet"/>
      <w:lvlText w:val=""/>
      <w:lvlJc w:val="left"/>
      <w:pPr>
        <w:ind w:left="360" w:hanging="360"/>
      </w:pPr>
      <w:rPr>
        <w:rFonts w:ascii="Symbol" w:hAnsi="Symbol" w:hint="default"/>
      </w:rPr>
    </w:lvl>
    <w:lvl w:ilvl="1" w:tplc="C898E89C">
      <w:start w:val="1"/>
      <w:numFmt w:val="bullet"/>
      <w:lvlText w:val="o"/>
      <w:lvlJc w:val="left"/>
      <w:pPr>
        <w:ind w:left="1080" w:hanging="360"/>
      </w:pPr>
      <w:rPr>
        <w:rFonts w:ascii="Courier New" w:hAnsi="Courier New" w:hint="default"/>
      </w:rPr>
    </w:lvl>
    <w:lvl w:ilvl="2" w:tplc="6598015A">
      <w:start w:val="1"/>
      <w:numFmt w:val="bullet"/>
      <w:lvlText w:val=""/>
      <w:lvlJc w:val="left"/>
      <w:pPr>
        <w:ind w:left="1800" w:hanging="360"/>
      </w:pPr>
      <w:rPr>
        <w:rFonts w:ascii="Wingdings" w:hAnsi="Wingdings" w:hint="default"/>
      </w:rPr>
    </w:lvl>
    <w:lvl w:ilvl="3" w:tplc="2C229E9E">
      <w:start w:val="1"/>
      <w:numFmt w:val="bullet"/>
      <w:lvlText w:val=""/>
      <w:lvlJc w:val="left"/>
      <w:pPr>
        <w:ind w:left="2520" w:hanging="360"/>
      </w:pPr>
      <w:rPr>
        <w:rFonts w:ascii="Symbol" w:hAnsi="Symbol" w:hint="default"/>
      </w:rPr>
    </w:lvl>
    <w:lvl w:ilvl="4" w:tplc="A2728620">
      <w:start w:val="1"/>
      <w:numFmt w:val="bullet"/>
      <w:lvlText w:val="o"/>
      <w:lvlJc w:val="left"/>
      <w:pPr>
        <w:ind w:left="3240" w:hanging="360"/>
      </w:pPr>
      <w:rPr>
        <w:rFonts w:ascii="Courier New" w:hAnsi="Courier New" w:hint="default"/>
      </w:rPr>
    </w:lvl>
    <w:lvl w:ilvl="5" w:tplc="E3245900">
      <w:start w:val="1"/>
      <w:numFmt w:val="bullet"/>
      <w:lvlText w:val=""/>
      <w:lvlJc w:val="left"/>
      <w:pPr>
        <w:ind w:left="3960" w:hanging="360"/>
      </w:pPr>
      <w:rPr>
        <w:rFonts w:ascii="Wingdings" w:hAnsi="Wingdings" w:hint="default"/>
      </w:rPr>
    </w:lvl>
    <w:lvl w:ilvl="6" w:tplc="B1082816">
      <w:start w:val="1"/>
      <w:numFmt w:val="bullet"/>
      <w:lvlText w:val=""/>
      <w:lvlJc w:val="left"/>
      <w:pPr>
        <w:ind w:left="4680" w:hanging="360"/>
      </w:pPr>
      <w:rPr>
        <w:rFonts w:ascii="Symbol" w:hAnsi="Symbol" w:hint="default"/>
      </w:rPr>
    </w:lvl>
    <w:lvl w:ilvl="7" w:tplc="24204904">
      <w:start w:val="1"/>
      <w:numFmt w:val="bullet"/>
      <w:lvlText w:val="o"/>
      <w:lvlJc w:val="left"/>
      <w:pPr>
        <w:ind w:left="5400" w:hanging="360"/>
      </w:pPr>
      <w:rPr>
        <w:rFonts w:ascii="Courier New" w:hAnsi="Courier New" w:hint="default"/>
      </w:rPr>
    </w:lvl>
    <w:lvl w:ilvl="8" w:tplc="B00C2D90">
      <w:start w:val="1"/>
      <w:numFmt w:val="bullet"/>
      <w:lvlText w:val=""/>
      <w:lvlJc w:val="left"/>
      <w:pPr>
        <w:ind w:left="6120" w:hanging="360"/>
      </w:pPr>
      <w:rPr>
        <w:rFonts w:ascii="Wingdings" w:hAnsi="Wingdings" w:hint="default"/>
      </w:rPr>
    </w:lvl>
  </w:abstractNum>
  <w:abstractNum w:abstractNumId="4" w15:restartNumberingAfterBreak="0">
    <w:nsid w:val="16678826"/>
    <w:multiLevelType w:val="hybridMultilevel"/>
    <w:tmpl w:val="79AC29FA"/>
    <w:lvl w:ilvl="0" w:tplc="D6E827C2">
      <w:start w:val="1"/>
      <w:numFmt w:val="decimal"/>
      <w:lvlText w:val="%1."/>
      <w:lvlJc w:val="left"/>
      <w:pPr>
        <w:ind w:left="360" w:hanging="360"/>
      </w:pPr>
    </w:lvl>
    <w:lvl w:ilvl="1" w:tplc="8C0876C2">
      <w:start w:val="1"/>
      <w:numFmt w:val="lowerLetter"/>
      <w:lvlText w:val="%2."/>
      <w:lvlJc w:val="left"/>
      <w:pPr>
        <w:ind w:left="1080" w:hanging="360"/>
      </w:pPr>
    </w:lvl>
    <w:lvl w:ilvl="2" w:tplc="56C8944A">
      <w:start w:val="1"/>
      <w:numFmt w:val="lowerRoman"/>
      <w:lvlText w:val="%3."/>
      <w:lvlJc w:val="right"/>
      <w:pPr>
        <w:ind w:left="1800" w:hanging="180"/>
      </w:pPr>
    </w:lvl>
    <w:lvl w:ilvl="3" w:tplc="3DAA2176">
      <w:start w:val="1"/>
      <w:numFmt w:val="decimal"/>
      <w:lvlText w:val="%4."/>
      <w:lvlJc w:val="left"/>
      <w:pPr>
        <w:ind w:left="2520" w:hanging="360"/>
      </w:pPr>
    </w:lvl>
    <w:lvl w:ilvl="4" w:tplc="2FA2CE92">
      <w:start w:val="1"/>
      <w:numFmt w:val="lowerLetter"/>
      <w:lvlText w:val="%5."/>
      <w:lvlJc w:val="left"/>
      <w:pPr>
        <w:ind w:left="3240" w:hanging="360"/>
      </w:pPr>
    </w:lvl>
    <w:lvl w:ilvl="5" w:tplc="2D2EA91C">
      <w:start w:val="1"/>
      <w:numFmt w:val="lowerRoman"/>
      <w:lvlText w:val="%6."/>
      <w:lvlJc w:val="right"/>
      <w:pPr>
        <w:ind w:left="3960" w:hanging="180"/>
      </w:pPr>
    </w:lvl>
    <w:lvl w:ilvl="6" w:tplc="14A42BC8">
      <w:start w:val="1"/>
      <w:numFmt w:val="decimal"/>
      <w:lvlText w:val="%7."/>
      <w:lvlJc w:val="left"/>
      <w:pPr>
        <w:ind w:left="4680" w:hanging="360"/>
      </w:pPr>
    </w:lvl>
    <w:lvl w:ilvl="7" w:tplc="DE82E552">
      <w:start w:val="1"/>
      <w:numFmt w:val="lowerLetter"/>
      <w:lvlText w:val="%8."/>
      <w:lvlJc w:val="left"/>
      <w:pPr>
        <w:ind w:left="5400" w:hanging="360"/>
      </w:pPr>
    </w:lvl>
    <w:lvl w:ilvl="8" w:tplc="41781D08">
      <w:start w:val="1"/>
      <w:numFmt w:val="lowerRoman"/>
      <w:lvlText w:val="%9."/>
      <w:lvlJc w:val="right"/>
      <w:pPr>
        <w:ind w:left="6120" w:hanging="180"/>
      </w:pPr>
    </w:lvl>
  </w:abstractNum>
  <w:abstractNum w:abstractNumId="5" w15:restartNumberingAfterBreak="0">
    <w:nsid w:val="178B52F9"/>
    <w:multiLevelType w:val="hybridMultilevel"/>
    <w:tmpl w:val="FFFFFFFF"/>
    <w:lvl w:ilvl="0" w:tplc="8EBC6674">
      <w:start w:val="1"/>
      <w:numFmt w:val="decimal"/>
      <w:lvlText w:val="%1."/>
      <w:lvlJc w:val="left"/>
      <w:pPr>
        <w:ind w:left="720" w:hanging="360"/>
      </w:pPr>
    </w:lvl>
    <w:lvl w:ilvl="1" w:tplc="E7261A62">
      <w:start w:val="1"/>
      <w:numFmt w:val="lowerLetter"/>
      <w:lvlText w:val="%2."/>
      <w:lvlJc w:val="left"/>
      <w:pPr>
        <w:ind w:left="1440" w:hanging="360"/>
      </w:pPr>
    </w:lvl>
    <w:lvl w:ilvl="2" w:tplc="7922AB6A">
      <w:start w:val="1"/>
      <w:numFmt w:val="lowerRoman"/>
      <w:lvlText w:val="%3."/>
      <w:lvlJc w:val="right"/>
      <w:pPr>
        <w:ind w:left="2160" w:hanging="180"/>
      </w:pPr>
    </w:lvl>
    <w:lvl w:ilvl="3" w:tplc="96C0B586">
      <w:start w:val="1"/>
      <w:numFmt w:val="decimal"/>
      <w:lvlText w:val="%4."/>
      <w:lvlJc w:val="left"/>
      <w:pPr>
        <w:ind w:left="2880" w:hanging="360"/>
      </w:pPr>
    </w:lvl>
    <w:lvl w:ilvl="4" w:tplc="734EFAAA">
      <w:start w:val="1"/>
      <w:numFmt w:val="lowerLetter"/>
      <w:lvlText w:val="%5."/>
      <w:lvlJc w:val="left"/>
      <w:pPr>
        <w:ind w:left="3600" w:hanging="360"/>
      </w:pPr>
    </w:lvl>
    <w:lvl w:ilvl="5" w:tplc="052A914A">
      <w:start w:val="1"/>
      <w:numFmt w:val="lowerRoman"/>
      <w:lvlText w:val="%6."/>
      <w:lvlJc w:val="right"/>
      <w:pPr>
        <w:ind w:left="4320" w:hanging="180"/>
      </w:pPr>
    </w:lvl>
    <w:lvl w:ilvl="6" w:tplc="51C201FE">
      <w:start w:val="1"/>
      <w:numFmt w:val="decimal"/>
      <w:lvlText w:val="%7."/>
      <w:lvlJc w:val="left"/>
      <w:pPr>
        <w:ind w:left="5040" w:hanging="360"/>
      </w:pPr>
    </w:lvl>
    <w:lvl w:ilvl="7" w:tplc="BA7EE3FC">
      <w:start w:val="1"/>
      <w:numFmt w:val="lowerLetter"/>
      <w:lvlText w:val="%8."/>
      <w:lvlJc w:val="left"/>
      <w:pPr>
        <w:ind w:left="5760" w:hanging="360"/>
      </w:pPr>
    </w:lvl>
    <w:lvl w:ilvl="8" w:tplc="FD72C734">
      <w:start w:val="1"/>
      <w:numFmt w:val="lowerRoman"/>
      <w:lvlText w:val="%9."/>
      <w:lvlJc w:val="right"/>
      <w:pPr>
        <w:ind w:left="6480" w:hanging="180"/>
      </w:pPr>
    </w:lvl>
  </w:abstractNum>
  <w:abstractNum w:abstractNumId="6" w15:restartNumberingAfterBreak="0">
    <w:nsid w:val="19326778"/>
    <w:multiLevelType w:val="hybridMultilevel"/>
    <w:tmpl w:val="89783ED4"/>
    <w:lvl w:ilvl="0" w:tplc="C7581DE0">
      <w:start w:val="1"/>
      <w:numFmt w:val="bullet"/>
      <w:lvlText w:val=""/>
      <w:lvlJc w:val="left"/>
      <w:pPr>
        <w:ind w:left="720" w:hanging="360"/>
      </w:pPr>
      <w:rPr>
        <w:rFonts w:ascii="Symbol" w:hAnsi="Symbol" w:hint="default"/>
      </w:rPr>
    </w:lvl>
    <w:lvl w:ilvl="1" w:tplc="68E4928C">
      <w:start w:val="1"/>
      <w:numFmt w:val="bullet"/>
      <w:lvlText w:val="o"/>
      <w:lvlJc w:val="left"/>
      <w:pPr>
        <w:ind w:left="1440" w:hanging="360"/>
      </w:pPr>
      <w:rPr>
        <w:rFonts w:ascii="Courier New" w:hAnsi="Courier New" w:hint="default"/>
      </w:rPr>
    </w:lvl>
    <w:lvl w:ilvl="2" w:tplc="A48E8546">
      <w:start w:val="1"/>
      <w:numFmt w:val="bullet"/>
      <w:lvlText w:val=""/>
      <w:lvlJc w:val="left"/>
      <w:pPr>
        <w:ind w:left="2160" w:hanging="360"/>
      </w:pPr>
      <w:rPr>
        <w:rFonts w:ascii="Wingdings" w:hAnsi="Wingdings" w:hint="default"/>
      </w:rPr>
    </w:lvl>
    <w:lvl w:ilvl="3" w:tplc="57C44E34">
      <w:start w:val="1"/>
      <w:numFmt w:val="bullet"/>
      <w:lvlText w:val=""/>
      <w:lvlJc w:val="left"/>
      <w:pPr>
        <w:ind w:left="2880" w:hanging="360"/>
      </w:pPr>
      <w:rPr>
        <w:rFonts w:ascii="Symbol" w:hAnsi="Symbol" w:hint="default"/>
      </w:rPr>
    </w:lvl>
    <w:lvl w:ilvl="4" w:tplc="820A2A12">
      <w:start w:val="1"/>
      <w:numFmt w:val="bullet"/>
      <w:lvlText w:val="o"/>
      <w:lvlJc w:val="left"/>
      <w:pPr>
        <w:ind w:left="3600" w:hanging="360"/>
      </w:pPr>
      <w:rPr>
        <w:rFonts w:ascii="Courier New" w:hAnsi="Courier New" w:hint="default"/>
      </w:rPr>
    </w:lvl>
    <w:lvl w:ilvl="5" w:tplc="39525D36">
      <w:start w:val="1"/>
      <w:numFmt w:val="bullet"/>
      <w:lvlText w:val=""/>
      <w:lvlJc w:val="left"/>
      <w:pPr>
        <w:ind w:left="4320" w:hanging="360"/>
      </w:pPr>
      <w:rPr>
        <w:rFonts w:ascii="Wingdings" w:hAnsi="Wingdings" w:hint="default"/>
      </w:rPr>
    </w:lvl>
    <w:lvl w:ilvl="6" w:tplc="3822F31C">
      <w:start w:val="1"/>
      <w:numFmt w:val="bullet"/>
      <w:lvlText w:val=""/>
      <w:lvlJc w:val="left"/>
      <w:pPr>
        <w:ind w:left="5040" w:hanging="360"/>
      </w:pPr>
      <w:rPr>
        <w:rFonts w:ascii="Symbol" w:hAnsi="Symbol" w:hint="default"/>
      </w:rPr>
    </w:lvl>
    <w:lvl w:ilvl="7" w:tplc="1D162BD0">
      <w:start w:val="1"/>
      <w:numFmt w:val="bullet"/>
      <w:lvlText w:val="o"/>
      <w:lvlJc w:val="left"/>
      <w:pPr>
        <w:ind w:left="5760" w:hanging="360"/>
      </w:pPr>
      <w:rPr>
        <w:rFonts w:ascii="Courier New" w:hAnsi="Courier New" w:hint="default"/>
      </w:rPr>
    </w:lvl>
    <w:lvl w:ilvl="8" w:tplc="336C12E6">
      <w:start w:val="1"/>
      <w:numFmt w:val="bullet"/>
      <w:lvlText w:val=""/>
      <w:lvlJc w:val="left"/>
      <w:pPr>
        <w:ind w:left="6480" w:hanging="360"/>
      </w:pPr>
      <w:rPr>
        <w:rFonts w:ascii="Wingdings" w:hAnsi="Wingdings" w:hint="default"/>
      </w:rPr>
    </w:lvl>
  </w:abstractNum>
  <w:abstractNum w:abstractNumId="7" w15:restartNumberingAfterBreak="0">
    <w:nsid w:val="25D7E46C"/>
    <w:multiLevelType w:val="hybridMultilevel"/>
    <w:tmpl w:val="FFFFFFFF"/>
    <w:lvl w:ilvl="0" w:tplc="2F2273AA">
      <w:start w:val="1"/>
      <w:numFmt w:val="bullet"/>
      <w:lvlText w:val=""/>
      <w:lvlJc w:val="left"/>
      <w:pPr>
        <w:ind w:left="720" w:hanging="360"/>
      </w:pPr>
      <w:rPr>
        <w:rFonts w:ascii="Symbol" w:hAnsi="Symbol" w:hint="default"/>
      </w:rPr>
    </w:lvl>
    <w:lvl w:ilvl="1" w:tplc="A23EB7F8">
      <w:start w:val="1"/>
      <w:numFmt w:val="bullet"/>
      <w:lvlText w:val="o"/>
      <w:lvlJc w:val="left"/>
      <w:pPr>
        <w:ind w:left="1440" w:hanging="360"/>
      </w:pPr>
      <w:rPr>
        <w:rFonts w:ascii="Courier New" w:hAnsi="Courier New" w:hint="default"/>
      </w:rPr>
    </w:lvl>
    <w:lvl w:ilvl="2" w:tplc="2C9809CA">
      <w:start w:val="1"/>
      <w:numFmt w:val="bullet"/>
      <w:lvlText w:val=""/>
      <w:lvlJc w:val="left"/>
      <w:pPr>
        <w:ind w:left="2160" w:hanging="360"/>
      </w:pPr>
      <w:rPr>
        <w:rFonts w:ascii="Wingdings" w:hAnsi="Wingdings" w:hint="default"/>
      </w:rPr>
    </w:lvl>
    <w:lvl w:ilvl="3" w:tplc="017AE536">
      <w:start w:val="1"/>
      <w:numFmt w:val="bullet"/>
      <w:lvlText w:val=""/>
      <w:lvlJc w:val="left"/>
      <w:pPr>
        <w:ind w:left="2880" w:hanging="360"/>
      </w:pPr>
      <w:rPr>
        <w:rFonts w:ascii="Symbol" w:hAnsi="Symbol" w:hint="default"/>
      </w:rPr>
    </w:lvl>
    <w:lvl w:ilvl="4" w:tplc="E55237BA">
      <w:start w:val="1"/>
      <w:numFmt w:val="bullet"/>
      <w:lvlText w:val="o"/>
      <w:lvlJc w:val="left"/>
      <w:pPr>
        <w:ind w:left="3600" w:hanging="360"/>
      </w:pPr>
      <w:rPr>
        <w:rFonts w:ascii="Courier New" w:hAnsi="Courier New" w:hint="default"/>
      </w:rPr>
    </w:lvl>
    <w:lvl w:ilvl="5" w:tplc="2DB6FC16">
      <w:start w:val="1"/>
      <w:numFmt w:val="bullet"/>
      <w:lvlText w:val=""/>
      <w:lvlJc w:val="left"/>
      <w:pPr>
        <w:ind w:left="4320" w:hanging="360"/>
      </w:pPr>
      <w:rPr>
        <w:rFonts w:ascii="Wingdings" w:hAnsi="Wingdings" w:hint="default"/>
      </w:rPr>
    </w:lvl>
    <w:lvl w:ilvl="6" w:tplc="6B3691B4">
      <w:start w:val="1"/>
      <w:numFmt w:val="bullet"/>
      <w:lvlText w:val=""/>
      <w:lvlJc w:val="left"/>
      <w:pPr>
        <w:ind w:left="5040" w:hanging="360"/>
      </w:pPr>
      <w:rPr>
        <w:rFonts w:ascii="Symbol" w:hAnsi="Symbol" w:hint="default"/>
      </w:rPr>
    </w:lvl>
    <w:lvl w:ilvl="7" w:tplc="259EA164">
      <w:start w:val="1"/>
      <w:numFmt w:val="bullet"/>
      <w:lvlText w:val="o"/>
      <w:lvlJc w:val="left"/>
      <w:pPr>
        <w:ind w:left="5760" w:hanging="360"/>
      </w:pPr>
      <w:rPr>
        <w:rFonts w:ascii="Courier New" w:hAnsi="Courier New" w:hint="default"/>
      </w:rPr>
    </w:lvl>
    <w:lvl w:ilvl="8" w:tplc="1E0C2BDC">
      <w:start w:val="1"/>
      <w:numFmt w:val="bullet"/>
      <w:lvlText w:val=""/>
      <w:lvlJc w:val="left"/>
      <w:pPr>
        <w:ind w:left="6480" w:hanging="360"/>
      </w:pPr>
      <w:rPr>
        <w:rFonts w:ascii="Wingdings" w:hAnsi="Wingdings" w:hint="default"/>
      </w:rPr>
    </w:lvl>
  </w:abstractNum>
  <w:abstractNum w:abstractNumId="8" w15:restartNumberingAfterBreak="0">
    <w:nsid w:val="2A73289C"/>
    <w:multiLevelType w:val="hybridMultilevel"/>
    <w:tmpl w:val="3CFAB346"/>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DE14BFB"/>
    <w:multiLevelType w:val="hybridMultilevel"/>
    <w:tmpl w:val="FFFFFFFF"/>
    <w:lvl w:ilvl="0" w:tplc="CE16BA4C">
      <w:start w:val="1"/>
      <w:numFmt w:val="bullet"/>
      <w:lvlText w:val=""/>
      <w:lvlJc w:val="left"/>
      <w:pPr>
        <w:ind w:left="720" w:hanging="360"/>
      </w:pPr>
      <w:rPr>
        <w:rFonts w:ascii="Symbol" w:hAnsi="Symbol" w:hint="default"/>
      </w:rPr>
    </w:lvl>
    <w:lvl w:ilvl="1" w:tplc="971E07B8">
      <w:start w:val="1"/>
      <w:numFmt w:val="bullet"/>
      <w:lvlText w:val="o"/>
      <w:lvlJc w:val="left"/>
      <w:pPr>
        <w:ind w:left="1440" w:hanging="360"/>
      </w:pPr>
      <w:rPr>
        <w:rFonts w:ascii="Courier New" w:hAnsi="Courier New" w:hint="default"/>
      </w:rPr>
    </w:lvl>
    <w:lvl w:ilvl="2" w:tplc="62388244">
      <w:start w:val="1"/>
      <w:numFmt w:val="bullet"/>
      <w:lvlText w:val=""/>
      <w:lvlJc w:val="left"/>
      <w:pPr>
        <w:ind w:left="2160" w:hanging="360"/>
      </w:pPr>
      <w:rPr>
        <w:rFonts w:ascii="Wingdings" w:hAnsi="Wingdings" w:hint="default"/>
      </w:rPr>
    </w:lvl>
    <w:lvl w:ilvl="3" w:tplc="117AFD08">
      <w:start w:val="1"/>
      <w:numFmt w:val="bullet"/>
      <w:lvlText w:val=""/>
      <w:lvlJc w:val="left"/>
      <w:pPr>
        <w:ind w:left="2880" w:hanging="360"/>
      </w:pPr>
      <w:rPr>
        <w:rFonts w:ascii="Symbol" w:hAnsi="Symbol" w:hint="default"/>
      </w:rPr>
    </w:lvl>
    <w:lvl w:ilvl="4" w:tplc="AFCA6540">
      <w:start w:val="1"/>
      <w:numFmt w:val="bullet"/>
      <w:lvlText w:val="o"/>
      <w:lvlJc w:val="left"/>
      <w:pPr>
        <w:ind w:left="3600" w:hanging="360"/>
      </w:pPr>
      <w:rPr>
        <w:rFonts w:ascii="Courier New" w:hAnsi="Courier New" w:hint="default"/>
      </w:rPr>
    </w:lvl>
    <w:lvl w:ilvl="5" w:tplc="E31C4DEA">
      <w:start w:val="1"/>
      <w:numFmt w:val="bullet"/>
      <w:lvlText w:val=""/>
      <w:lvlJc w:val="left"/>
      <w:pPr>
        <w:ind w:left="4320" w:hanging="360"/>
      </w:pPr>
      <w:rPr>
        <w:rFonts w:ascii="Wingdings" w:hAnsi="Wingdings" w:hint="default"/>
      </w:rPr>
    </w:lvl>
    <w:lvl w:ilvl="6" w:tplc="6D2A5808">
      <w:start w:val="1"/>
      <w:numFmt w:val="bullet"/>
      <w:lvlText w:val=""/>
      <w:lvlJc w:val="left"/>
      <w:pPr>
        <w:ind w:left="5040" w:hanging="360"/>
      </w:pPr>
      <w:rPr>
        <w:rFonts w:ascii="Symbol" w:hAnsi="Symbol" w:hint="default"/>
      </w:rPr>
    </w:lvl>
    <w:lvl w:ilvl="7" w:tplc="93ACCA76">
      <w:start w:val="1"/>
      <w:numFmt w:val="bullet"/>
      <w:lvlText w:val="o"/>
      <w:lvlJc w:val="left"/>
      <w:pPr>
        <w:ind w:left="5760" w:hanging="360"/>
      </w:pPr>
      <w:rPr>
        <w:rFonts w:ascii="Courier New" w:hAnsi="Courier New" w:hint="default"/>
      </w:rPr>
    </w:lvl>
    <w:lvl w:ilvl="8" w:tplc="A47A70A0">
      <w:start w:val="1"/>
      <w:numFmt w:val="bullet"/>
      <w:lvlText w:val=""/>
      <w:lvlJc w:val="left"/>
      <w:pPr>
        <w:ind w:left="6480" w:hanging="360"/>
      </w:pPr>
      <w:rPr>
        <w:rFonts w:ascii="Wingdings" w:hAnsi="Wingdings" w:hint="default"/>
      </w:rPr>
    </w:lvl>
  </w:abstractNum>
  <w:abstractNum w:abstractNumId="10" w15:restartNumberingAfterBreak="0">
    <w:nsid w:val="34B40B7A"/>
    <w:multiLevelType w:val="multilevel"/>
    <w:tmpl w:val="7812ED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8277EB9"/>
    <w:multiLevelType w:val="multilevel"/>
    <w:tmpl w:val="BC046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944942"/>
    <w:multiLevelType w:val="hybridMultilevel"/>
    <w:tmpl w:val="B958F19A"/>
    <w:lvl w:ilvl="0" w:tplc="6574A706">
      <w:start w:val="1"/>
      <w:numFmt w:val="lowerLetter"/>
      <w:lvlText w:val="%1."/>
      <w:lvlJc w:val="left"/>
      <w:pPr>
        <w:ind w:left="1080" w:hanging="360"/>
      </w:pPr>
    </w:lvl>
    <w:lvl w:ilvl="1" w:tplc="35684950">
      <w:start w:val="1"/>
      <w:numFmt w:val="lowerLetter"/>
      <w:lvlText w:val="%2."/>
      <w:lvlJc w:val="left"/>
      <w:pPr>
        <w:ind w:left="1800" w:hanging="360"/>
      </w:pPr>
    </w:lvl>
    <w:lvl w:ilvl="2" w:tplc="F1943D64">
      <w:start w:val="1"/>
      <w:numFmt w:val="lowerRoman"/>
      <w:lvlText w:val="%3."/>
      <w:lvlJc w:val="right"/>
      <w:pPr>
        <w:ind w:left="2520" w:hanging="180"/>
      </w:pPr>
    </w:lvl>
    <w:lvl w:ilvl="3" w:tplc="7C2C13D0">
      <w:start w:val="1"/>
      <w:numFmt w:val="decimal"/>
      <w:lvlText w:val="%4."/>
      <w:lvlJc w:val="left"/>
      <w:pPr>
        <w:ind w:left="3240" w:hanging="360"/>
      </w:pPr>
    </w:lvl>
    <w:lvl w:ilvl="4" w:tplc="558A173A">
      <w:start w:val="1"/>
      <w:numFmt w:val="lowerLetter"/>
      <w:lvlText w:val="%5."/>
      <w:lvlJc w:val="left"/>
      <w:pPr>
        <w:ind w:left="3960" w:hanging="360"/>
      </w:pPr>
    </w:lvl>
    <w:lvl w:ilvl="5" w:tplc="6E844DC4">
      <w:start w:val="1"/>
      <w:numFmt w:val="lowerRoman"/>
      <w:lvlText w:val="%6."/>
      <w:lvlJc w:val="right"/>
      <w:pPr>
        <w:ind w:left="4680" w:hanging="180"/>
      </w:pPr>
    </w:lvl>
    <w:lvl w:ilvl="6" w:tplc="CF26750A">
      <w:start w:val="1"/>
      <w:numFmt w:val="decimal"/>
      <w:lvlText w:val="%7."/>
      <w:lvlJc w:val="left"/>
      <w:pPr>
        <w:ind w:left="5400" w:hanging="360"/>
      </w:pPr>
    </w:lvl>
    <w:lvl w:ilvl="7" w:tplc="62C6D740">
      <w:start w:val="1"/>
      <w:numFmt w:val="lowerLetter"/>
      <w:lvlText w:val="%8."/>
      <w:lvlJc w:val="left"/>
      <w:pPr>
        <w:ind w:left="6120" w:hanging="360"/>
      </w:pPr>
    </w:lvl>
    <w:lvl w:ilvl="8" w:tplc="65062A42">
      <w:start w:val="1"/>
      <w:numFmt w:val="lowerRoman"/>
      <w:lvlText w:val="%9."/>
      <w:lvlJc w:val="right"/>
      <w:pPr>
        <w:ind w:left="6840" w:hanging="180"/>
      </w:pPr>
    </w:lvl>
  </w:abstractNum>
  <w:abstractNum w:abstractNumId="13" w15:restartNumberingAfterBreak="0">
    <w:nsid w:val="3A7FC4DC"/>
    <w:multiLevelType w:val="hybridMultilevel"/>
    <w:tmpl w:val="CA76C790"/>
    <w:lvl w:ilvl="0" w:tplc="9DBEFE2C">
      <w:start w:val="1"/>
      <w:numFmt w:val="decimal"/>
      <w:lvlText w:val="%1."/>
      <w:lvlJc w:val="left"/>
      <w:pPr>
        <w:ind w:left="360" w:hanging="360"/>
      </w:pPr>
    </w:lvl>
    <w:lvl w:ilvl="1" w:tplc="7756A932">
      <w:start w:val="1"/>
      <w:numFmt w:val="lowerLetter"/>
      <w:lvlText w:val="%2."/>
      <w:lvlJc w:val="left"/>
      <w:pPr>
        <w:ind w:left="1080" w:hanging="360"/>
      </w:pPr>
    </w:lvl>
    <w:lvl w:ilvl="2" w:tplc="7BDAD244">
      <w:start w:val="1"/>
      <w:numFmt w:val="lowerRoman"/>
      <w:lvlText w:val="%3."/>
      <w:lvlJc w:val="right"/>
      <w:pPr>
        <w:ind w:left="1800" w:hanging="180"/>
      </w:pPr>
    </w:lvl>
    <w:lvl w:ilvl="3" w:tplc="F74C9F52">
      <w:start w:val="1"/>
      <w:numFmt w:val="decimal"/>
      <w:lvlText w:val="%4."/>
      <w:lvlJc w:val="left"/>
      <w:pPr>
        <w:ind w:left="2520" w:hanging="360"/>
      </w:pPr>
    </w:lvl>
    <w:lvl w:ilvl="4" w:tplc="9B64EA4A">
      <w:start w:val="1"/>
      <w:numFmt w:val="lowerLetter"/>
      <w:lvlText w:val="%5."/>
      <w:lvlJc w:val="left"/>
      <w:pPr>
        <w:ind w:left="3240" w:hanging="360"/>
      </w:pPr>
    </w:lvl>
    <w:lvl w:ilvl="5" w:tplc="CFC8D73A">
      <w:start w:val="1"/>
      <w:numFmt w:val="lowerRoman"/>
      <w:lvlText w:val="%6."/>
      <w:lvlJc w:val="right"/>
      <w:pPr>
        <w:ind w:left="3960" w:hanging="180"/>
      </w:pPr>
    </w:lvl>
    <w:lvl w:ilvl="6" w:tplc="7250D894">
      <w:start w:val="1"/>
      <w:numFmt w:val="decimal"/>
      <w:lvlText w:val="%7."/>
      <w:lvlJc w:val="left"/>
      <w:pPr>
        <w:ind w:left="4680" w:hanging="360"/>
      </w:pPr>
    </w:lvl>
    <w:lvl w:ilvl="7" w:tplc="5F64FF0C">
      <w:start w:val="1"/>
      <w:numFmt w:val="lowerLetter"/>
      <w:lvlText w:val="%8."/>
      <w:lvlJc w:val="left"/>
      <w:pPr>
        <w:ind w:left="5400" w:hanging="360"/>
      </w:pPr>
    </w:lvl>
    <w:lvl w:ilvl="8" w:tplc="3B24659C">
      <w:start w:val="1"/>
      <w:numFmt w:val="lowerRoman"/>
      <w:lvlText w:val="%9."/>
      <w:lvlJc w:val="right"/>
      <w:pPr>
        <w:ind w:left="6120" w:hanging="180"/>
      </w:pPr>
    </w:lvl>
  </w:abstractNum>
  <w:abstractNum w:abstractNumId="14" w15:restartNumberingAfterBreak="0">
    <w:nsid w:val="3D1A57A2"/>
    <w:multiLevelType w:val="multilevel"/>
    <w:tmpl w:val="72EE9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F6DAB4"/>
    <w:multiLevelType w:val="hybridMultilevel"/>
    <w:tmpl w:val="C84A3B6A"/>
    <w:lvl w:ilvl="0" w:tplc="C42E9DA2">
      <w:start w:val="1"/>
      <w:numFmt w:val="decimal"/>
      <w:lvlText w:val="%1."/>
      <w:lvlJc w:val="left"/>
      <w:pPr>
        <w:ind w:left="720" w:hanging="360"/>
      </w:pPr>
    </w:lvl>
    <w:lvl w:ilvl="1" w:tplc="CEAC5B8A">
      <w:start w:val="1"/>
      <w:numFmt w:val="lowerLetter"/>
      <w:lvlText w:val="%2."/>
      <w:lvlJc w:val="left"/>
      <w:pPr>
        <w:ind w:left="1440" w:hanging="360"/>
      </w:pPr>
    </w:lvl>
    <w:lvl w:ilvl="2" w:tplc="171CD522">
      <w:start w:val="1"/>
      <w:numFmt w:val="lowerRoman"/>
      <w:lvlText w:val="%3."/>
      <w:lvlJc w:val="right"/>
      <w:pPr>
        <w:ind w:left="2160" w:hanging="180"/>
      </w:pPr>
    </w:lvl>
    <w:lvl w:ilvl="3" w:tplc="3124B0AE">
      <w:start w:val="1"/>
      <w:numFmt w:val="decimal"/>
      <w:lvlText w:val="%4."/>
      <w:lvlJc w:val="left"/>
      <w:pPr>
        <w:ind w:left="2880" w:hanging="360"/>
      </w:pPr>
    </w:lvl>
    <w:lvl w:ilvl="4" w:tplc="A948D6FA">
      <w:start w:val="1"/>
      <w:numFmt w:val="lowerLetter"/>
      <w:lvlText w:val="%5."/>
      <w:lvlJc w:val="left"/>
      <w:pPr>
        <w:ind w:left="3600" w:hanging="360"/>
      </w:pPr>
    </w:lvl>
    <w:lvl w:ilvl="5" w:tplc="F80EC52C">
      <w:start w:val="1"/>
      <w:numFmt w:val="lowerRoman"/>
      <w:lvlText w:val="%6."/>
      <w:lvlJc w:val="right"/>
      <w:pPr>
        <w:ind w:left="4320" w:hanging="180"/>
      </w:pPr>
    </w:lvl>
    <w:lvl w:ilvl="6" w:tplc="A3A0CE9A">
      <w:start w:val="1"/>
      <w:numFmt w:val="decimal"/>
      <w:lvlText w:val="%7."/>
      <w:lvlJc w:val="left"/>
      <w:pPr>
        <w:ind w:left="5040" w:hanging="360"/>
      </w:pPr>
    </w:lvl>
    <w:lvl w:ilvl="7" w:tplc="9D1E353C">
      <w:start w:val="1"/>
      <w:numFmt w:val="lowerLetter"/>
      <w:lvlText w:val="%8."/>
      <w:lvlJc w:val="left"/>
      <w:pPr>
        <w:ind w:left="5760" w:hanging="360"/>
      </w:pPr>
    </w:lvl>
    <w:lvl w:ilvl="8" w:tplc="AC409DE6">
      <w:start w:val="1"/>
      <w:numFmt w:val="lowerRoman"/>
      <w:lvlText w:val="%9."/>
      <w:lvlJc w:val="right"/>
      <w:pPr>
        <w:ind w:left="6480" w:hanging="180"/>
      </w:pPr>
    </w:lvl>
  </w:abstractNum>
  <w:abstractNum w:abstractNumId="16" w15:restartNumberingAfterBreak="0">
    <w:nsid w:val="3FF95442"/>
    <w:multiLevelType w:val="hybridMultilevel"/>
    <w:tmpl w:val="1BFCE844"/>
    <w:lvl w:ilvl="0" w:tplc="20861704">
      <w:start w:val="1"/>
      <w:numFmt w:val="bullet"/>
      <w:lvlText w:val=""/>
      <w:lvlJc w:val="left"/>
      <w:pPr>
        <w:ind w:left="360" w:hanging="360"/>
      </w:pPr>
      <w:rPr>
        <w:rFonts w:ascii="Symbol" w:hAnsi="Symbol" w:hint="default"/>
      </w:rPr>
    </w:lvl>
    <w:lvl w:ilvl="1" w:tplc="6668214C">
      <w:start w:val="1"/>
      <w:numFmt w:val="bullet"/>
      <w:lvlText w:val="o"/>
      <w:lvlJc w:val="left"/>
      <w:pPr>
        <w:ind w:left="1080" w:hanging="360"/>
      </w:pPr>
      <w:rPr>
        <w:rFonts w:ascii="Courier New" w:hAnsi="Courier New" w:hint="default"/>
      </w:rPr>
    </w:lvl>
    <w:lvl w:ilvl="2" w:tplc="E5D00684">
      <w:start w:val="1"/>
      <w:numFmt w:val="bullet"/>
      <w:lvlText w:val=""/>
      <w:lvlJc w:val="left"/>
      <w:pPr>
        <w:ind w:left="1800" w:hanging="360"/>
      </w:pPr>
      <w:rPr>
        <w:rFonts w:ascii="Wingdings" w:hAnsi="Wingdings" w:hint="default"/>
      </w:rPr>
    </w:lvl>
    <w:lvl w:ilvl="3" w:tplc="7354DE6E">
      <w:start w:val="1"/>
      <w:numFmt w:val="bullet"/>
      <w:lvlText w:val=""/>
      <w:lvlJc w:val="left"/>
      <w:pPr>
        <w:ind w:left="2520" w:hanging="360"/>
      </w:pPr>
      <w:rPr>
        <w:rFonts w:ascii="Symbol" w:hAnsi="Symbol" w:hint="default"/>
      </w:rPr>
    </w:lvl>
    <w:lvl w:ilvl="4" w:tplc="9EFEEDA6">
      <w:start w:val="1"/>
      <w:numFmt w:val="bullet"/>
      <w:lvlText w:val="o"/>
      <w:lvlJc w:val="left"/>
      <w:pPr>
        <w:ind w:left="3240" w:hanging="360"/>
      </w:pPr>
      <w:rPr>
        <w:rFonts w:ascii="Courier New" w:hAnsi="Courier New" w:hint="default"/>
      </w:rPr>
    </w:lvl>
    <w:lvl w:ilvl="5" w:tplc="9F4CA220">
      <w:start w:val="1"/>
      <w:numFmt w:val="bullet"/>
      <w:lvlText w:val=""/>
      <w:lvlJc w:val="left"/>
      <w:pPr>
        <w:ind w:left="3960" w:hanging="360"/>
      </w:pPr>
      <w:rPr>
        <w:rFonts w:ascii="Wingdings" w:hAnsi="Wingdings" w:hint="default"/>
      </w:rPr>
    </w:lvl>
    <w:lvl w:ilvl="6" w:tplc="4CA6E0C0">
      <w:start w:val="1"/>
      <w:numFmt w:val="bullet"/>
      <w:lvlText w:val=""/>
      <w:lvlJc w:val="left"/>
      <w:pPr>
        <w:ind w:left="4680" w:hanging="360"/>
      </w:pPr>
      <w:rPr>
        <w:rFonts w:ascii="Symbol" w:hAnsi="Symbol" w:hint="default"/>
      </w:rPr>
    </w:lvl>
    <w:lvl w:ilvl="7" w:tplc="DB1E88B6">
      <w:start w:val="1"/>
      <w:numFmt w:val="bullet"/>
      <w:lvlText w:val="o"/>
      <w:lvlJc w:val="left"/>
      <w:pPr>
        <w:ind w:left="5400" w:hanging="360"/>
      </w:pPr>
      <w:rPr>
        <w:rFonts w:ascii="Courier New" w:hAnsi="Courier New" w:hint="default"/>
      </w:rPr>
    </w:lvl>
    <w:lvl w:ilvl="8" w:tplc="2F4829F2">
      <w:start w:val="1"/>
      <w:numFmt w:val="bullet"/>
      <w:lvlText w:val=""/>
      <w:lvlJc w:val="left"/>
      <w:pPr>
        <w:ind w:left="6120" w:hanging="360"/>
      </w:pPr>
      <w:rPr>
        <w:rFonts w:ascii="Wingdings" w:hAnsi="Wingdings" w:hint="default"/>
      </w:rPr>
    </w:lvl>
  </w:abstractNum>
  <w:abstractNum w:abstractNumId="17" w15:restartNumberingAfterBreak="0">
    <w:nsid w:val="427B67D6"/>
    <w:multiLevelType w:val="hybridMultilevel"/>
    <w:tmpl w:val="5E4C19BA"/>
    <w:lvl w:ilvl="0" w:tplc="3F005520">
      <w:start w:val="1"/>
      <w:numFmt w:val="bullet"/>
      <w:lvlText w:val=""/>
      <w:lvlJc w:val="left"/>
      <w:pPr>
        <w:ind w:left="360" w:hanging="360"/>
      </w:pPr>
      <w:rPr>
        <w:rFonts w:ascii="Symbol" w:hAnsi="Symbol" w:hint="default"/>
      </w:rPr>
    </w:lvl>
    <w:lvl w:ilvl="1" w:tplc="156083EC">
      <w:start w:val="1"/>
      <w:numFmt w:val="bullet"/>
      <w:lvlText w:val="o"/>
      <w:lvlJc w:val="left"/>
      <w:pPr>
        <w:ind w:left="1080" w:hanging="360"/>
      </w:pPr>
      <w:rPr>
        <w:rFonts w:ascii="Courier New" w:hAnsi="Courier New" w:hint="default"/>
      </w:rPr>
    </w:lvl>
    <w:lvl w:ilvl="2" w:tplc="7842F632">
      <w:start w:val="1"/>
      <w:numFmt w:val="bullet"/>
      <w:lvlText w:val=""/>
      <w:lvlJc w:val="left"/>
      <w:pPr>
        <w:ind w:left="1800" w:hanging="360"/>
      </w:pPr>
      <w:rPr>
        <w:rFonts w:ascii="Wingdings" w:hAnsi="Wingdings" w:hint="default"/>
      </w:rPr>
    </w:lvl>
    <w:lvl w:ilvl="3" w:tplc="7DFEDE44">
      <w:start w:val="1"/>
      <w:numFmt w:val="bullet"/>
      <w:lvlText w:val=""/>
      <w:lvlJc w:val="left"/>
      <w:pPr>
        <w:ind w:left="2520" w:hanging="360"/>
      </w:pPr>
      <w:rPr>
        <w:rFonts w:ascii="Symbol" w:hAnsi="Symbol" w:hint="default"/>
      </w:rPr>
    </w:lvl>
    <w:lvl w:ilvl="4" w:tplc="7136A214">
      <w:start w:val="1"/>
      <w:numFmt w:val="bullet"/>
      <w:lvlText w:val="o"/>
      <w:lvlJc w:val="left"/>
      <w:pPr>
        <w:ind w:left="3240" w:hanging="360"/>
      </w:pPr>
      <w:rPr>
        <w:rFonts w:ascii="Courier New" w:hAnsi="Courier New" w:hint="default"/>
      </w:rPr>
    </w:lvl>
    <w:lvl w:ilvl="5" w:tplc="66ECE708">
      <w:start w:val="1"/>
      <w:numFmt w:val="bullet"/>
      <w:lvlText w:val=""/>
      <w:lvlJc w:val="left"/>
      <w:pPr>
        <w:ind w:left="3960" w:hanging="360"/>
      </w:pPr>
      <w:rPr>
        <w:rFonts w:ascii="Wingdings" w:hAnsi="Wingdings" w:hint="default"/>
      </w:rPr>
    </w:lvl>
    <w:lvl w:ilvl="6" w:tplc="9D042B68">
      <w:start w:val="1"/>
      <w:numFmt w:val="bullet"/>
      <w:lvlText w:val=""/>
      <w:lvlJc w:val="left"/>
      <w:pPr>
        <w:ind w:left="4680" w:hanging="360"/>
      </w:pPr>
      <w:rPr>
        <w:rFonts w:ascii="Symbol" w:hAnsi="Symbol" w:hint="default"/>
      </w:rPr>
    </w:lvl>
    <w:lvl w:ilvl="7" w:tplc="7A0EF4E4">
      <w:start w:val="1"/>
      <w:numFmt w:val="bullet"/>
      <w:lvlText w:val="o"/>
      <w:lvlJc w:val="left"/>
      <w:pPr>
        <w:ind w:left="5400" w:hanging="360"/>
      </w:pPr>
      <w:rPr>
        <w:rFonts w:ascii="Courier New" w:hAnsi="Courier New" w:hint="default"/>
      </w:rPr>
    </w:lvl>
    <w:lvl w:ilvl="8" w:tplc="75DA8954">
      <w:start w:val="1"/>
      <w:numFmt w:val="bullet"/>
      <w:lvlText w:val=""/>
      <w:lvlJc w:val="left"/>
      <w:pPr>
        <w:ind w:left="6120" w:hanging="360"/>
      </w:pPr>
      <w:rPr>
        <w:rFonts w:ascii="Wingdings" w:hAnsi="Wingdings" w:hint="default"/>
      </w:rPr>
    </w:lvl>
  </w:abstractNum>
  <w:abstractNum w:abstractNumId="18" w15:restartNumberingAfterBreak="0">
    <w:nsid w:val="48773C34"/>
    <w:multiLevelType w:val="hybridMultilevel"/>
    <w:tmpl w:val="C2DC2C3A"/>
    <w:lvl w:ilvl="0" w:tplc="0C0A000F">
      <w:start w:val="1"/>
      <w:numFmt w:val="decimal"/>
      <w:lvlText w:val="%1."/>
      <w:lvlJc w:val="left"/>
      <w:pPr>
        <w:ind w:left="36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A668E7"/>
    <w:multiLevelType w:val="hybridMultilevel"/>
    <w:tmpl w:val="3ADA1D18"/>
    <w:lvl w:ilvl="0" w:tplc="0C0A0001">
      <w:start w:val="1"/>
      <w:numFmt w:val="bullet"/>
      <w:lvlText w:val=""/>
      <w:lvlJc w:val="left"/>
      <w:pPr>
        <w:ind w:left="360" w:hanging="360"/>
      </w:pPr>
      <w:rPr>
        <w:rFonts w:ascii="Symbol" w:hAnsi="Symbol"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0" w15:restartNumberingAfterBreak="0">
    <w:nsid w:val="4EB22902"/>
    <w:multiLevelType w:val="hybridMultilevel"/>
    <w:tmpl w:val="6D3C073A"/>
    <w:lvl w:ilvl="0" w:tplc="9FB2ED50">
      <w:start w:val="1"/>
      <w:numFmt w:val="bullet"/>
      <w:lvlText w:val=""/>
      <w:lvlJc w:val="left"/>
      <w:pPr>
        <w:ind w:left="360" w:hanging="360"/>
      </w:pPr>
      <w:rPr>
        <w:rFonts w:ascii="Symbol" w:hAnsi="Symbol" w:hint="default"/>
      </w:rPr>
    </w:lvl>
    <w:lvl w:ilvl="1" w:tplc="B5EC9D3A">
      <w:start w:val="1"/>
      <w:numFmt w:val="bullet"/>
      <w:lvlText w:val="o"/>
      <w:lvlJc w:val="left"/>
      <w:pPr>
        <w:ind w:left="1080" w:hanging="360"/>
      </w:pPr>
      <w:rPr>
        <w:rFonts w:ascii="Courier New" w:hAnsi="Courier New" w:hint="default"/>
      </w:rPr>
    </w:lvl>
    <w:lvl w:ilvl="2" w:tplc="24CE4444">
      <w:start w:val="1"/>
      <w:numFmt w:val="bullet"/>
      <w:lvlText w:val=""/>
      <w:lvlJc w:val="left"/>
      <w:pPr>
        <w:ind w:left="1800" w:hanging="360"/>
      </w:pPr>
      <w:rPr>
        <w:rFonts w:ascii="Wingdings" w:hAnsi="Wingdings" w:hint="default"/>
      </w:rPr>
    </w:lvl>
    <w:lvl w:ilvl="3" w:tplc="4844CCD4">
      <w:start w:val="1"/>
      <w:numFmt w:val="bullet"/>
      <w:lvlText w:val=""/>
      <w:lvlJc w:val="left"/>
      <w:pPr>
        <w:ind w:left="2520" w:hanging="360"/>
      </w:pPr>
      <w:rPr>
        <w:rFonts w:ascii="Symbol" w:hAnsi="Symbol" w:hint="default"/>
      </w:rPr>
    </w:lvl>
    <w:lvl w:ilvl="4" w:tplc="65D045BC">
      <w:start w:val="1"/>
      <w:numFmt w:val="bullet"/>
      <w:lvlText w:val="o"/>
      <w:lvlJc w:val="left"/>
      <w:pPr>
        <w:ind w:left="3240" w:hanging="360"/>
      </w:pPr>
      <w:rPr>
        <w:rFonts w:ascii="Courier New" w:hAnsi="Courier New" w:hint="default"/>
      </w:rPr>
    </w:lvl>
    <w:lvl w:ilvl="5" w:tplc="A45A8E28">
      <w:start w:val="1"/>
      <w:numFmt w:val="bullet"/>
      <w:lvlText w:val=""/>
      <w:lvlJc w:val="left"/>
      <w:pPr>
        <w:ind w:left="3960" w:hanging="360"/>
      </w:pPr>
      <w:rPr>
        <w:rFonts w:ascii="Wingdings" w:hAnsi="Wingdings" w:hint="default"/>
      </w:rPr>
    </w:lvl>
    <w:lvl w:ilvl="6" w:tplc="07B06D9C">
      <w:start w:val="1"/>
      <w:numFmt w:val="bullet"/>
      <w:lvlText w:val=""/>
      <w:lvlJc w:val="left"/>
      <w:pPr>
        <w:ind w:left="4680" w:hanging="360"/>
      </w:pPr>
      <w:rPr>
        <w:rFonts w:ascii="Symbol" w:hAnsi="Symbol" w:hint="default"/>
      </w:rPr>
    </w:lvl>
    <w:lvl w:ilvl="7" w:tplc="71E4D8F8">
      <w:start w:val="1"/>
      <w:numFmt w:val="bullet"/>
      <w:lvlText w:val="o"/>
      <w:lvlJc w:val="left"/>
      <w:pPr>
        <w:ind w:left="5400" w:hanging="360"/>
      </w:pPr>
      <w:rPr>
        <w:rFonts w:ascii="Courier New" w:hAnsi="Courier New" w:hint="default"/>
      </w:rPr>
    </w:lvl>
    <w:lvl w:ilvl="8" w:tplc="49DA9B8E">
      <w:start w:val="1"/>
      <w:numFmt w:val="bullet"/>
      <w:lvlText w:val=""/>
      <w:lvlJc w:val="left"/>
      <w:pPr>
        <w:ind w:left="6120" w:hanging="360"/>
      </w:pPr>
      <w:rPr>
        <w:rFonts w:ascii="Wingdings" w:hAnsi="Wingdings" w:hint="default"/>
      </w:rPr>
    </w:lvl>
  </w:abstractNum>
  <w:abstractNum w:abstractNumId="21" w15:restartNumberingAfterBreak="0">
    <w:nsid w:val="528BED44"/>
    <w:multiLevelType w:val="hybridMultilevel"/>
    <w:tmpl w:val="C41017FE"/>
    <w:lvl w:ilvl="0" w:tplc="DE8E9CCC">
      <w:start w:val="1"/>
      <w:numFmt w:val="decimal"/>
      <w:lvlText w:val="%1."/>
      <w:lvlJc w:val="left"/>
      <w:pPr>
        <w:ind w:left="720" w:hanging="360"/>
      </w:pPr>
    </w:lvl>
    <w:lvl w:ilvl="1" w:tplc="CA0E1EBA">
      <w:start w:val="1"/>
      <w:numFmt w:val="lowerLetter"/>
      <w:lvlText w:val="%2."/>
      <w:lvlJc w:val="left"/>
      <w:pPr>
        <w:ind w:left="1440" w:hanging="360"/>
      </w:pPr>
    </w:lvl>
    <w:lvl w:ilvl="2" w:tplc="41A6D87A">
      <w:start w:val="1"/>
      <w:numFmt w:val="lowerRoman"/>
      <w:lvlText w:val="%3."/>
      <w:lvlJc w:val="right"/>
      <w:pPr>
        <w:ind w:left="2160" w:hanging="180"/>
      </w:pPr>
    </w:lvl>
    <w:lvl w:ilvl="3" w:tplc="7FA68A30">
      <w:start w:val="1"/>
      <w:numFmt w:val="decimal"/>
      <w:lvlText w:val="%4."/>
      <w:lvlJc w:val="left"/>
      <w:pPr>
        <w:ind w:left="2880" w:hanging="360"/>
      </w:pPr>
    </w:lvl>
    <w:lvl w:ilvl="4" w:tplc="E4AEA52C">
      <w:start w:val="1"/>
      <w:numFmt w:val="lowerLetter"/>
      <w:lvlText w:val="%5."/>
      <w:lvlJc w:val="left"/>
      <w:pPr>
        <w:ind w:left="3600" w:hanging="360"/>
      </w:pPr>
    </w:lvl>
    <w:lvl w:ilvl="5" w:tplc="F656C8CA">
      <w:start w:val="1"/>
      <w:numFmt w:val="lowerRoman"/>
      <w:lvlText w:val="%6."/>
      <w:lvlJc w:val="right"/>
      <w:pPr>
        <w:ind w:left="4320" w:hanging="180"/>
      </w:pPr>
    </w:lvl>
    <w:lvl w:ilvl="6" w:tplc="603AF6BE">
      <w:start w:val="1"/>
      <w:numFmt w:val="decimal"/>
      <w:lvlText w:val="%7."/>
      <w:lvlJc w:val="left"/>
      <w:pPr>
        <w:ind w:left="5040" w:hanging="360"/>
      </w:pPr>
    </w:lvl>
    <w:lvl w:ilvl="7" w:tplc="A11C4ACA">
      <w:start w:val="1"/>
      <w:numFmt w:val="lowerLetter"/>
      <w:lvlText w:val="%8."/>
      <w:lvlJc w:val="left"/>
      <w:pPr>
        <w:ind w:left="5760" w:hanging="360"/>
      </w:pPr>
    </w:lvl>
    <w:lvl w:ilvl="8" w:tplc="BF629B5A">
      <w:start w:val="1"/>
      <w:numFmt w:val="lowerRoman"/>
      <w:lvlText w:val="%9."/>
      <w:lvlJc w:val="right"/>
      <w:pPr>
        <w:ind w:left="6480" w:hanging="180"/>
      </w:pPr>
    </w:lvl>
  </w:abstractNum>
  <w:abstractNum w:abstractNumId="22" w15:restartNumberingAfterBreak="0">
    <w:nsid w:val="52A71964"/>
    <w:multiLevelType w:val="hybridMultilevel"/>
    <w:tmpl w:val="719E4D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4A0D8C7"/>
    <w:multiLevelType w:val="hybridMultilevel"/>
    <w:tmpl w:val="4F54D978"/>
    <w:lvl w:ilvl="0" w:tplc="8444C396">
      <w:start w:val="1"/>
      <w:numFmt w:val="decimal"/>
      <w:lvlText w:val="%1."/>
      <w:lvlJc w:val="left"/>
      <w:pPr>
        <w:ind w:left="360" w:hanging="360"/>
      </w:pPr>
    </w:lvl>
    <w:lvl w:ilvl="1" w:tplc="E4425F8C">
      <w:start w:val="1"/>
      <w:numFmt w:val="lowerLetter"/>
      <w:lvlText w:val="%2."/>
      <w:lvlJc w:val="left"/>
      <w:pPr>
        <w:ind w:left="1080" w:hanging="360"/>
      </w:pPr>
    </w:lvl>
    <w:lvl w:ilvl="2" w:tplc="E630858C">
      <w:start w:val="1"/>
      <w:numFmt w:val="lowerRoman"/>
      <w:lvlText w:val="%3."/>
      <w:lvlJc w:val="right"/>
      <w:pPr>
        <w:ind w:left="1800" w:hanging="180"/>
      </w:pPr>
    </w:lvl>
    <w:lvl w:ilvl="3" w:tplc="DDF80124">
      <w:start w:val="1"/>
      <w:numFmt w:val="decimal"/>
      <w:lvlText w:val="%4."/>
      <w:lvlJc w:val="left"/>
      <w:pPr>
        <w:ind w:left="2520" w:hanging="360"/>
      </w:pPr>
    </w:lvl>
    <w:lvl w:ilvl="4" w:tplc="2542C066">
      <w:start w:val="1"/>
      <w:numFmt w:val="lowerLetter"/>
      <w:lvlText w:val="%5."/>
      <w:lvlJc w:val="left"/>
      <w:pPr>
        <w:ind w:left="3240" w:hanging="360"/>
      </w:pPr>
    </w:lvl>
    <w:lvl w:ilvl="5" w:tplc="85C2FB80">
      <w:start w:val="1"/>
      <w:numFmt w:val="lowerRoman"/>
      <w:lvlText w:val="%6."/>
      <w:lvlJc w:val="right"/>
      <w:pPr>
        <w:ind w:left="3960" w:hanging="180"/>
      </w:pPr>
    </w:lvl>
    <w:lvl w:ilvl="6" w:tplc="EC0C27C8">
      <w:start w:val="1"/>
      <w:numFmt w:val="decimal"/>
      <w:lvlText w:val="%7."/>
      <w:lvlJc w:val="left"/>
      <w:pPr>
        <w:ind w:left="4680" w:hanging="360"/>
      </w:pPr>
    </w:lvl>
    <w:lvl w:ilvl="7" w:tplc="935CC09E">
      <w:start w:val="1"/>
      <w:numFmt w:val="lowerLetter"/>
      <w:lvlText w:val="%8."/>
      <w:lvlJc w:val="left"/>
      <w:pPr>
        <w:ind w:left="5400" w:hanging="360"/>
      </w:pPr>
    </w:lvl>
    <w:lvl w:ilvl="8" w:tplc="08F85D76">
      <w:start w:val="1"/>
      <w:numFmt w:val="lowerRoman"/>
      <w:lvlText w:val="%9."/>
      <w:lvlJc w:val="right"/>
      <w:pPr>
        <w:ind w:left="6120" w:hanging="180"/>
      </w:pPr>
    </w:lvl>
  </w:abstractNum>
  <w:abstractNum w:abstractNumId="24" w15:restartNumberingAfterBreak="0">
    <w:nsid w:val="57D41611"/>
    <w:multiLevelType w:val="hybridMultilevel"/>
    <w:tmpl w:val="948405C0"/>
    <w:lvl w:ilvl="0" w:tplc="0C0A0001">
      <w:start w:val="1"/>
      <w:numFmt w:val="bullet"/>
      <w:lvlText w:val=""/>
      <w:lvlJc w:val="left"/>
      <w:pPr>
        <w:ind w:left="360" w:hanging="360"/>
      </w:pPr>
      <w:rPr>
        <w:rFonts w:ascii="Symbol" w:hAnsi="Symbol"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5" w15:restartNumberingAfterBreak="0">
    <w:nsid w:val="59C5248C"/>
    <w:multiLevelType w:val="hybridMultilevel"/>
    <w:tmpl w:val="C6808E6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6" w15:restartNumberingAfterBreak="0">
    <w:nsid w:val="5D4030C8"/>
    <w:multiLevelType w:val="multilevel"/>
    <w:tmpl w:val="61324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8B4B0B"/>
    <w:multiLevelType w:val="hybridMultilevel"/>
    <w:tmpl w:val="322E8F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671BDEF7"/>
    <w:multiLevelType w:val="hybridMultilevel"/>
    <w:tmpl w:val="E83259A2"/>
    <w:lvl w:ilvl="0" w:tplc="17740AA4">
      <w:start w:val="1"/>
      <w:numFmt w:val="bullet"/>
      <w:lvlText w:val=""/>
      <w:lvlJc w:val="left"/>
      <w:pPr>
        <w:ind w:left="720" w:hanging="360"/>
      </w:pPr>
      <w:rPr>
        <w:rFonts w:ascii="Symbol" w:hAnsi="Symbol" w:hint="default"/>
      </w:rPr>
    </w:lvl>
    <w:lvl w:ilvl="1" w:tplc="75D03B30">
      <w:start w:val="1"/>
      <w:numFmt w:val="bullet"/>
      <w:lvlText w:val="o"/>
      <w:lvlJc w:val="left"/>
      <w:pPr>
        <w:ind w:left="1440" w:hanging="360"/>
      </w:pPr>
      <w:rPr>
        <w:rFonts w:ascii="Courier New" w:hAnsi="Courier New" w:hint="default"/>
      </w:rPr>
    </w:lvl>
    <w:lvl w:ilvl="2" w:tplc="EA22DA14">
      <w:start w:val="1"/>
      <w:numFmt w:val="bullet"/>
      <w:lvlText w:val=""/>
      <w:lvlJc w:val="left"/>
      <w:pPr>
        <w:ind w:left="2160" w:hanging="360"/>
      </w:pPr>
      <w:rPr>
        <w:rFonts w:ascii="Wingdings" w:hAnsi="Wingdings" w:hint="default"/>
      </w:rPr>
    </w:lvl>
    <w:lvl w:ilvl="3" w:tplc="EB5CB5A4">
      <w:start w:val="1"/>
      <w:numFmt w:val="bullet"/>
      <w:lvlText w:val=""/>
      <w:lvlJc w:val="left"/>
      <w:pPr>
        <w:ind w:left="2880" w:hanging="360"/>
      </w:pPr>
      <w:rPr>
        <w:rFonts w:ascii="Symbol" w:hAnsi="Symbol" w:hint="default"/>
      </w:rPr>
    </w:lvl>
    <w:lvl w:ilvl="4" w:tplc="FADEC104">
      <w:start w:val="1"/>
      <w:numFmt w:val="bullet"/>
      <w:lvlText w:val="o"/>
      <w:lvlJc w:val="left"/>
      <w:pPr>
        <w:ind w:left="3600" w:hanging="360"/>
      </w:pPr>
      <w:rPr>
        <w:rFonts w:ascii="Courier New" w:hAnsi="Courier New" w:hint="default"/>
      </w:rPr>
    </w:lvl>
    <w:lvl w:ilvl="5" w:tplc="48F8A6AA">
      <w:start w:val="1"/>
      <w:numFmt w:val="bullet"/>
      <w:lvlText w:val=""/>
      <w:lvlJc w:val="left"/>
      <w:pPr>
        <w:ind w:left="4320" w:hanging="360"/>
      </w:pPr>
      <w:rPr>
        <w:rFonts w:ascii="Wingdings" w:hAnsi="Wingdings" w:hint="default"/>
      </w:rPr>
    </w:lvl>
    <w:lvl w:ilvl="6" w:tplc="547461E8">
      <w:start w:val="1"/>
      <w:numFmt w:val="bullet"/>
      <w:lvlText w:val=""/>
      <w:lvlJc w:val="left"/>
      <w:pPr>
        <w:ind w:left="5040" w:hanging="360"/>
      </w:pPr>
      <w:rPr>
        <w:rFonts w:ascii="Symbol" w:hAnsi="Symbol" w:hint="default"/>
      </w:rPr>
    </w:lvl>
    <w:lvl w:ilvl="7" w:tplc="79A2AF1C">
      <w:start w:val="1"/>
      <w:numFmt w:val="bullet"/>
      <w:lvlText w:val="o"/>
      <w:lvlJc w:val="left"/>
      <w:pPr>
        <w:ind w:left="5760" w:hanging="360"/>
      </w:pPr>
      <w:rPr>
        <w:rFonts w:ascii="Courier New" w:hAnsi="Courier New" w:hint="default"/>
      </w:rPr>
    </w:lvl>
    <w:lvl w:ilvl="8" w:tplc="5EC28DEA">
      <w:start w:val="1"/>
      <w:numFmt w:val="bullet"/>
      <w:lvlText w:val=""/>
      <w:lvlJc w:val="left"/>
      <w:pPr>
        <w:ind w:left="6480" w:hanging="360"/>
      </w:pPr>
      <w:rPr>
        <w:rFonts w:ascii="Wingdings" w:hAnsi="Wingdings" w:hint="default"/>
      </w:rPr>
    </w:lvl>
  </w:abstractNum>
  <w:abstractNum w:abstractNumId="29" w15:restartNumberingAfterBreak="0">
    <w:nsid w:val="68CD338C"/>
    <w:multiLevelType w:val="hybridMultilevel"/>
    <w:tmpl w:val="E942074C"/>
    <w:lvl w:ilvl="0" w:tplc="5A6670D0">
      <w:start w:val="1"/>
      <w:numFmt w:val="bullet"/>
      <w:lvlText w:val=""/>
      <w:lvlJc w:val="left"/>
      <w:pPr>
        <w:ind w:left="720" w:hanging="360"/>
      </w:pPr>
      <w:rPr>
        <w:rFonts w:ascii="Symbol" w:hAnsi="Symbol" w:hint="default"/>
      </w:rPr>
    </w:lvl>
    <w:lvl w:ilvl="1" w:tplc="7C60D8F2">
      <w:start w:val="1"/>
      <w:numFmt w:val="bullet"/>
      <w:lvlText w:val="o"/>
      <w:lvlJc w:val="left"/>
      <w:pPr>
        <w:ind w:left="1440" w:hanging="360"/>
      </w:pPr>
      <w:rPr>
        <w:rFonts w:ascii="Courier New" w:hAnsi="Courier New" w:hint="default"/>
      </w:rPr>
    </w:lvl>
    <w:lvl w:ilvl="2" w:tplc="4462EB54">
      <w:start w:val="1"/>
      <w:numFmt w:val="bullet"/>
      <w:lvlText w:val=""/>
      <w:lvlJc w:val="left"/>
      <w:pPr>
        <w:ind w:left="2160" w:hanging="360"/>
      </w:pPr>
      <w:rPr>
        <w:rFonts w:ascii="Wingdings" w:hAnsi="Wingdings" w:hint="default"/>
      </w:rPr>
    </w:lvl>
    <w:lvl w:ilvl="3" w:tplc="93D02DEA">
      <w:start w:val="1"/>
      <w:numFmt w:val="bullet"/>
      <w:lvlText w:val=""/>
      <w:lvlJc w:val="left"/>
      <w:pPr>
        <w:ind w:left="2880" w:hanging="360"/>
      </w:pPr>
      <w:rPr>
        <w:rFonts w:ascii="Symbol" w:hAnsi="Symbol" w:hint="default"/>
      </w:rPr>
    </w:lvl>
    <w:lvl w:ilvl="4" w:tplc="CEF2CF5A">
      <w:start w:val="1"/>
      <w:numFmt w:val="bullet"/>
      <w:lvlText w:val="o"/>
      <w:lvlJc w:val="left"/>
      <w:pPr>
        <w:ind w:left="3600" w:hanging="360"/>
      </w:pPr>
      <w:rPr>
        <w:rFonts w:ascii="Courier New" w:hAnsi="Courier New" w:hint="default"/>
      </w:rPr>
    </w:lvl>
    <w:lvl w:ilvl="5" w:tplc="34ECA4BA">
      <w:start w:val="1"/>
      <w:numFmt w:val="bullet"/>
      <w:lvlText w:val=""/>
      <w:lvlJc w:val="left"/>
      <w:pPr>
        <w:ind w:left="4320" w:hanging="360"/>
      </w:pPr>
      <w:rPr>
        <w:rFonts w:ascii="Wingdings" w:hAnsi="Wingdings" w:hint="default"/>
      </w:rPr>
    </w:lvl>
    <w:lvl w:ilvl="6" w:tplc="FDDA48E2">
      <w:start w:val="1"/>
      <w:numFmt w:val="bullet"/>
      <w:lvlText w:val=""/>
      <w:lvlJc w:val="left"/>
      <w:pPr>
        <w:ind w:left="5040" w:hanging="360"/>
      </w:pPr>
      <w:rPr>
        <w:rFonts w:ascii="Symbol" w:hAnsi="Symbol" w:hint="default"/>
      </w:rPr>
    </w:lvl>
    <w:lvl w:ilvl="7" w:tplc="52807FE0">
      <w:start w:val="1"/>
      <w:numFmt w:val="bullet"/>
      <w:lvlText w:val="o"/>
      <w:lvlJc w:val="left"/>
      <w:pPr>
        <w:ind w:left="5760" w:hanging="360"/>
      </w:pPr>
      <w:rPr>
        <w:rFonts w:ascii="Courier New" w:hAnsi="Courier New" w:hint="default"/>
      </w:rPr>
    </w:lvl>
    <w:lvl w:ilvl="8" w:tplc="14346CE0">
      <w:start w:val="1"/>
      <w:numFmt w:val="bullet"/>
      <w:lvlText w:val=""/>
      <w:lvlJc w:val="left"/>
      <w:pPr>
        <w:ind w:left="6480" w:hanging="360"/>
      </w:pPr>
      <w:rPr>
        <w:rFonts w:ascii="Wingdings" w:hAnsi="Wingdings" w:hint="default"/>
      </w:rPr>
    </w:lvl>
  </w:abstractNum>
  <w:num w:numId="1" w16cid:durableId="1126630153">
    <w:abstractNumId w:val="10"/>
  </w:num>
  <w:num w:numId="2" w16cid:durableId="1438217076">
    <w:abstractNumId w:val="15"/>
  </w:num>
  <w:num w:numId="3" w16cid:durableId="909727968">
    <w:abstractNumId w:val="29"/>
  </w:num>
  <w:num w:numId="4" w16cid:durableId="1430278560">
    <w:abstractNumId w:val="28"/>
  </w:num>
  <w:num w:numId="5" w16cid:durableId="1393235108">
    <w:abstractNumId w:val="12"/>
  </w:num>
  <w:num w:numId="6" w16cid:durableId="60100839">
    <w:abstractNumId w:val="23"/>
  </w:num>
  <w:num w:numId="7" w16cid:durableId="1982491642">
    <w:abstractNumId w:val="1"/>
  </w:num>
  <w:num w:numId="8" w16cid:durableId="252201862">
    <w:abstractNumId w:val="21"/>
  </w:num>
  <w:num w:numId="9" w16cid:durableId="1490052228">
    <w:abstractNumId w:val="13"/>
  </w:num>
  <w:num w:numId="10" w16cid:durableId="662321913">
    <w:abstractNumId w:val="0"/>
  </w:num>
  <w:num w:numId="11" w16cid:durableId="1173883956">
    <w:abstractNumId w:val="24"/>
  </w:num>
  <w:num w:numId="12" w16cid:durableId="196747027">
    <w:abstractNumId w:val="19"/>
  </w:num>
  <w:num w:numId="13" w16cid:durableId="363337149">
    <w:abstractNumId w:val="8"/>
  </w:num>
  <w:num w:numId="14" w16cid:durableId="559096986">
    <w:abstractNumId w:val="27"/>
  </w:num>
  <w:num w:numId="15" w16cid:durableId="975334469">
    <w:abstractNumId w:val="22"/>
  </w:num>
  <w:num w:numId="16" w16cid:durableId="416750241">
    <w:abstractNumId w:val="2"/>
  </w:num>
  <w:num w:numId="17" w16cid:durableId="365375765">
    <w:abstractNumId w:val="11"/>
  </w:num>
  <w:num w:numId="18" w16cid:durableId="632441587">
    <w:abstractNumId w:val="14"/>
  </w:num>
  <w:num w:numId="19" w16cid:durableId="116872636">
    <w:abstractNumId w:val="18"/>
  </w:num>
  <w:num w:numId="20" w16cid:durableId="834565730">
    <w:abstractNumId w:val="25"/>
  </w:num>
  <w:num w:numId="21" w16cid:durableId="1468351372">
    <w:abstractNumId w:val="16"/>
  </w:num>
  <w:num w:numId="22" w16cid:durableId="431245634">
    <w:abstractNumId w:val="3"/>
  </w:num>
  <w:num w:numId="23" w16cid:durableId="2010014426">
    <w:abstractNumId w:val="4"/>
  </w:num>
  <w:num w:numId="24" w16cid:durableId="667558141">
    <w:abstractNumId w:val="5"/>
  </w:num>
  <w:num w:numId="25" w16cid:durableId="2010597597">
    <w:abstractNumId w:val="20"/>
  </w:num>
  <w:num w:numId="26" w16cid:durableId="157773914">
    <w:abstractNumId w:val="17"/>
  </w:num>
  <w:num w:numId="27" w16cid:durableId="2070303916">
    <w:abstractNumId w:val="6"/>
  </w:num>
  <w:num w:numId="28" w16cid:durableId="372970873">
    <w:abstractNumId w:val="9"/>
  </w:num>
  <w:num w:numId="29" w16cid:durableId="478695276">
    <w:abstractNumId w:val="7"/>
  </w:num>
  <w:num w:numId="30" w16cid:durableId="74576001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se Gabriel Perdomo Guzman">
    <w15:presenceInfo w15:providerId="AD" w15:userId="S::jperdomo@sdp.gov.co::f623ba16-c7ae-44b4-8458-39bd1113fabb"/>
  </w15:person>
  <w15:person w15:author="Natalia Ramirez Munoz">
    <w15:presenceInfo w15:providerId="AD" w15:userId="S::nramirezm@sdp.gov.co::312daa7e-558d-4618-9703-3140278b40ce"/>
  </w15:person>
  <w15:person w15:author="Maria Camila Lozano Morales">
    <w15:presenceInfo w15:providerId="AD" w15:userId="S::mlozanom@sdp.gov.co::10d256e8-bab5-4c82-be2a-c26f2ae44b01"/>
  </w15:person>
  <w15:person w15:author="Gabriel Andres Millan Guayacundo">
    <w15:presenceInfo w15:providerId="AD" w15:userId="S::gmillan@sdp.gov.co::8dfb4124-e6b3-4fe4-a337-75a30bd3839e"/>
  </w15:person>
  <w15:person w15:author="Reinaldo Torres Nunez">
    <w15:presenceInfo w15:providerId="AD" w15:userId="S::rtorresn@sdp.gov.co::131ff4e4-3433-4fc9-8186-ce27e6fb0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CF5"/>
    <w:rsid w:val="00020420"/>
    <w:rsid w:val="00023C95"/>
    <w:rsid w:val="0004352C"/>
    <w:rsid w:val="000450CF"/>
    <w:rsid w:val="000916C1"/>
    <w:rsid w:val="000A3681"/>
    <w:rsid w:val="000B6874"/>
    <w:rsid w:val="000C291F"/>
    <w:rsid w:val="000C769C"/>
    <w:rsid w:val="001107D6"/>
    <w:rsid w:val="001324A6"/>
    <w:rsid w:val="00136561"/>
    <w:rsid w:val="00153B57"/>
    <w:rsid w:val="00173BEF"/>
    <w:rsid w:val="0018308C"/>
    <w:rsid w:val="001D0394"/>
    <w:rsid w:val="001E2F5A"/>
    <w:rsid w:val="00202B7D"/>
    <w:rsid w:val="00212D05"/>
    <w:rsid w:val="002240F4"/>
    <w:rsid w:val="002411CF"/>
    <w:rsid w:val="00243758"/>
    <w:rsid w:val="0026167B"/>
    <w:rsid w:val="002631DC"/>
    <w:rsid w:val="00267247"/>
    <w:rsid w:val="002747F1"/>
    <w:rsid w:val="00285603"/>
    <w:rsid w:val="002868F7"/>
    <w:rsid w:val="00296E14"/>
    <w:rsid w:val="00296EEF"/>
    <w:rsid w:val="002A4004"/>
    <w:rsid w:val="003264B3"/>
    <w:rsid w:val="003403E5"/>
    <w:rsid w:val="00341CBA"/>
    <w:rsid w:val="00347FD8"/>
    <w:rsid w:val="00356456"/>
    <w:rsid w:val="00370D65"/>
    <w:rsid w:val="003905D6"/>
    <w:rsid w:val="003A6746"/>
    <w:rsid w:val="003B2059"/>
    <w:rsid w:val="003B229F"/>
    <w:rsid w:val="003C0FB5"/>
    <w:rsid w:val="003F4AC6"/>
    <w:rsid w:val="00400356"/>
    <w:rsid w:val="00407A1D"/>
    <w:rsid w:val="00431CEF"/>
    <w:rsid w:val="00434360"/>
    <w:rsid w:val="00435978"/>
    <w:rsid w:val="004414F5"/>
    <w:rsid w:val="004444C2"/>
    <w:rsid w:val="00451EE1"/>
    <w:rsid w:val="00454C69"/>
    <w:rsid w:val="0048130F"/>
    <w:rsid w:val="0048188D"/>
    <w:rsid w:val="00484209"/>
    <w:rsid w:val="004875DE"/>
    <w:rsid w:val="004A549D"/>
    <w:rsid w:val="004D21A3"/>
    <w:rsid w:val="00503887"/>
    <w:rsid w:val="00507824"/>
    <w:rsid w:val="005232E5"/>
    <w:rsid w:val="005336AE"/>
    <w:rsid w:val="00562045"/>
    <w:rsid w:val="00562BEA"/>
    <w:rsid w:val="00563F43"/>
    <w:rsid w:val="0057131E"/>
    <w:rsid w:val="005A3004"/>
    <w:rsid w:val="005D1B9C"/>
    <w:rsid w:val="005E16B3"/>
    <w:rsid w:val="005F0CDC"/>
    <w:rsid w:val="00602E6E"/>
    <w:rsid w:val="00615CF8"/>
    <w:rsid w:val="00625F00"/>
    <w:rsid w:val="006333ED"/>
    <w:rsid w:val="006362B9"/>
    <w:rsid w:val="00654A23"/>
    <w:rsid w:val="00656E7B"/>
    <w:rsid w:val="00682110"/>
    <w:rsid w:val="006D4756"/>
    <w:rsid w:val="00702601"/>
    <w:rsid w:val="007211A3"/>
    <w:rsid w:val="00732AC7"/>
    <w:rsid w:val="007358CD"/>
    <w:rsid w:val="00740204"/>
    <w:rsid w:val="00766B70"/>
    <w:rsid w:val="00770453"/>
    <w:rsid w:val="00773F4F"/>
    <w:rsid w:val="00776592"/>
    <w:rsid w:val="00795C04"/>
    <w:rsid w:val="00795CB9"/>
    <w:rsid w:val="007D308C"/>
    <w:rsid w:val="007D6EF5"/>
    <w:rsid w:val="007F049B"/>
    <w:rsid w:val="007F6639"/>
    <w:rsid w:val="007F6BD8"/>
    <w:rsid w:val="00801438"/>
    <w:rsid w:val="00832490"/>
    <w:rsid w:val="00861CB1"/>
    <w:rsid w:val="00865E3E"/>
    <w:rsid w:val="00867B77"/>
    <w:rsid w:val="00882A6C"/>
    <w:rsid w:val="008A5920"/>
    <w:rsid w:val="008A7685"/>
    <w:rsid w:val="008D0F95"/>
    <w:rsid w:val="008E7A5B"/>
    <w:rsid w:val="008F4D4D"/>
    <w:rsid w:val="00945077"/>
    <w:rsid w:val="00951333"/>
    <w:rsid w:val="009525A4"/>
    <w:rsid w:val="00953306"/>
    <w:rsid w:val="00961C24"/>
    <w:rsid w:val="009863AF"/>
    <w:rsid w:val="00991EAE"/>
    <w:rsid w:val="00994ACC"/>
    <w:rsid w:val="009C2744"/>
    <w:rsid w:val="009C62CD"/>
    <w:rsid w:val="009D3623"/>
    <w:rsid w:val="00A1333D"/>
    <w:rsid w:val="00A2479C"/>
    <w:rsid w:val="00A432B9"/>
    <w:rsid w:val="00A75ECD"/>
    <w:rsid w:val="00A77D9E"/>
    <w:rsid w:val="00A94470"/>
    <w:rsid w:val="00AA14DC"/>
    <w:rsid w:val="00AA7B99"/>
    <w:rsid w:val="00AB2F5D"/>
    <w:rsid w:val="00AB54DE"/>
    <w:rsid w:val="00AD59F4"/>
    <w:rsid w:val="00AE06FC"/>
    <w:rsid w:val="00B10208"/>
    <w:rsid w:val="00B43E93"/>
    <w:rsid w:val="00B4573B"/>
    <w:rsid w:val="00B45973"/>
    <w:rsid w:val="00B676DC"/>
    <w:rsid w:val="00B86BBF"/>
    <w:rsid w:val="00BA12E1"/>
    <w:rsid w:val="00BB6152"/>
    <w:rsid w:val="00BC29B7"/>
    <w:rsid w:val="00BC45E2"/>
    <w:rsid w:val="00BE704E"/>
    <w:rsid w:val="00C06CF5"/>
    <w:rsid w:val="00C07B30"/>
    <w:rsid w:val="00C30507"/>
    <w:rsid w:val="00C45C03"/>
    <w:rsid w:val="00C61610"/>
    <w:rsid w:val="00C61C08"/>
    <w:rsid w:val="00C70B55"/>
    <w:rsid w:val="00CA2469"/>
    <w:rsid w:val="00CB73CC"/>
    <w:rsid w:val="00D179C3"/>
    <w:rsid w:val="00D206AB"/>
    <w:rsid w:val="00D22AAD"/>
    <w:rsid w:val="00D32B8D"/>
    <w:rsid w:val="00D32EB2"/>
    <w:rsid w:val="00D5587E"/>
    <w:rsid w:val="00D56688"/>
    <w:rsid w:val="00D732DA"/>
    <w:rsid w:val="00D7445A"/>
    <w:rsid w:val="00D867C2"/>
    <w:rsid w:val="00D921FB"/>
    <w:rsid w:val="00DB5510"/>
    <w:rsid w:val="00DF4158"/>
    <w:rsid w:val="00DF77CB"/>
    <w:rsid w:val="00E51425"/>
    <w:rsid w:val="00E64AC3"/>
    <w:rsid w:val="00E75D77"/>
    <w:rsid w:val="00E871DD"/>
    <w:rsid w:val="00EB50CC"/>
    <w:rsid w:val="00F15B5B"/>
    <w:rsid w:val="00F2066A"/>
    <w:rsid w:val="00F2159A"/>
    <w:rsid w:val="00F52673"/>
    <w:rsid w:val="00F53093"/>
    <w:rsid w:val="00F635B6"/>
    <w:rsid w:val="00F77217"/>
    <w:rsid w:val="00F86C9E"/>
    <w:rsid w:val="00F9216D"/>
    <w:rsid w:val="00F9555A"/>
    <w:rsid w:val="00FA477E"/>
    <w:rsid w:val="00FA50BA"/>
    <w:rsid w:val="00FC3A96"/>
    <w:rsid w:val="00FC594D"/>
    <w:rsid w:val="00FD394C"/>
    <w:rsid w:val="00FD6D64"/>
    <w:rsid w:val="02260816"/>
    <w:rsid w:val="056483DA"/>
    <w:rsid w:val="06B178D8"/>
    <w:rsid w:val="0E070FB6"/>
    <w:rsid w:val="0E6145AC"/>
    <w:rsid w:val="14A7B5D2"/>
    <w:rsid w:val="18A93D8D"/>
    <w:rsid w:val="1BA9AE09"/>
    <w:rsid w:val="2168FEAB"/>
    <w:rsid w:val="23BD7645"/>
    <w:rsid w:val="2BD04090"/>
    <w:rsid w:val="3F6F7EC5"/>
    <w:rsid w:val="41770CB4"/>
    <w:rsid w:val="44D0F74E"/>
    <w:rsid w:val="60A8CDA9"/>
    <w:rsid w:val="65205451"/>
    <w:rsid w:val="6CA92137"/>
    <w:rsid w:val="7286D3B5"/>
    <w:rsid w:val="7435BF4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3D21EE"/>
  <w15:chartTrackingRefBased/>
  <w15:docId w15:val="{09C0581D-494A-4FA2-BD02-D3B4A4387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07"/>
    <w:pPr>
      <w:spacing w:line="259" w:lineRule="auto"/>
    </w:pPr>
    <w:rPr>
      <w:rFonts w:ascii="Dosis" w:hAnsi="Dosis"/>
      <w:sz w:val="22"/>
      <w:szCs w:val="22"/>
      <w:lang w:val="es-CO"/>
    </w:rPr>
  </w:style>
  <w:style w:type="paragraph" w:styleId="Ttulo1">
    <w:name w:val="heading 1"/>
    <w:basedOn w:val="Normal"/>
    <w:next w:val="Normal"/>
    <w:link w:val="Ttulo1Car"/>
    <w:uiPriority w:val="9"/>
    <w:qFormat/>
    <w:rsid w:val="00C30507"/>
    <w:pPr>
      <w:keepNext/>
      <w:keepLines/>
      <w:spacing w:before="360" w:after="80"/>
      <w:outlineLvl w:val="0"/>
    </w:pPr>
    <w:rPr>
      <w:rFonts w:eastAsiaTheme="majorEastAsia"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30507"/>
    <w:pPr>
      <w:keepNext/>
      <w:keepLines/>
      <w:spacing w:before="160" w:after="80"/>
      <w:outlineLvl w:val="1"/>
    </w:pPr>
    <w:rPr>
      <w:rFonts w:eastAsiaTheme="majorEastAsia"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06CF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06CF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06CF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06CF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06CF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06CF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06CF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30507"/>
    <w:rPr>
      <w:rFonts w:ascii="Dosis" w:eastAsiaTheme="majorEastAsia" w:hAnsi="Dosis" w:cstheme="majorBidi"/>
      <w:color w:val="0F4761" w:themeColor="accent1" w:themeShade="BF"/>
      <w:sz w:val="40"/>
      <w:szCs w:val="40"/>
      <w:lang w:val="es-CO"/>
    </w:rPr>
  </w:style>
  <w:style w:type="character" w:customStyle="1" w:styleId="Ttulo2Car">
    <w:name w:val="Título 2 Car"/>
    <w:basedOn w:val="Fuentedeprrafopredeter"/>
    <w:link w:val="Ttulo2"/>
    <w:uiPriority w:val="9"/>
    <w:semiHidden/>
    <w:rsid w:val="00C30507"/>
    <w:rPr>
      <w:rFonts w:ascii="Dosis" w:eastAsiaTheme="majorEastAsia" w:hAnsi="Dosis" w:cstheme="majorBidi"/>
      <w:color w:val="0F4761" w:themeColor="accent1" w:themeShade="BF"/>
      <w:sz w:val="32"/>
      <w:szCs w:val="32"/>
      <w:lang w:val="es-CO"/>
    </w:rPr>
  </w:style>
  <w:style w:type="character" w:customStyle="1" w:styleId="Ttulo3Car">
    <w:name w:val="Título 3 Car"/>
    <w:basedOn w:val="Fuentedeprrafopredeter"/>
    <w:link w:val="Ttulo3"/>
    <w:uiPriority w:val="9"/>
    <w:semiHidden/>
    <w:rsid w:val="00C06CF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06CF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06CF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06CF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06CF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06CF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06CF5"/>
    <w:rPr>
      <w:rFonts w:eastAsiaTheme="majorEastAsia" w:cstheme="majorBidi"/>
      <w:color w:val="272727" w:themeColor="text1" w:themeTint="D8"/>
    </w:rPr>
  </w:style>
  <w:style w:type="paragraph" w:styleId="Ttulo">
    <w:name w:val="Title"/>
    <w:basedOn w:val="Normal"/>
    <w:next w:val="Normal"/>
    <w:link w:val="TtuloCar"/>
    <w:uiPriority w:val="10"/>
    <w:qFormat/>
    <w:rsid w:val="00C06C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06CF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06CF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06CF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06CF5"/>
    <w:pPr>
      <w:spacing w:before="160"/>
      <w:jc w:val="center"/>
    </w:pPr>
    <w:rPr>
      <w:i/>
      <w:iCs/>
      <w:color w:val="404040" w:themeColor="text1" w:themeTint="BF"/>
    </w:rPr>
  </w:style>
  <w:style w:type="character" w:customStyle="1" w:styleId="CitaCar">
    <w:name w:val="Cita Car"/>
    <w:basedOn w:val="Fuentedeprrafopredeter"/>
    <w:link w:val="Cita"/>
    <w:uiPriority w:val="29"/>
    <w:rsid w:val="00C06CF5"/>
    <w:rPr>
      <w:i/>
      <w:iCs/>
      <w:color w:val="404040" w:themeColor="text1" w:themeTint="BF"/>
    </w:rPr>
  </w:style>
  <w:style w:type="paragraph" w:styleId="Prrafodelista">
    <w:name w:val="List Paragraph"/>
    <w:basedOn w:val="Normal"/>
    <w:uiPriority w:val="34"/>
    <w:qFormat/>
    <w:rsid w:val="00C06CF5"/>
    <w:pPr>
      <w:ind w:left="720"/>
      <w:contextualSpacing/>
    </w:pPr>
  </w:style>
  <w:style w:type="character" w:styleId="nfasisintenso">
    <w:name w:val="Intense Emphasis"/>
    <w:basedOn w:val="Fuentedeprrafopredeter"/>
    <w:uiPriority w:val="21"/>
    <w:qFormat/>
    <w:rsid w:val="00C06CF5"/>
    <w:rPr>
      <w:i/>
      <w:iCs/>
      <w:color w:val="0F4761" w:themeColor="accent1" w:themeShade="BF"/>
    </w:rPr>
  </w:style>
  <w:style w:type="paragraph" w:styleId="Citadestacada">
    <w:name w:val="Intense Quote"/>
    <w:basedOn w:val="Normal"/>
    <w:next w:val="Normal"/>
    <w:link w:val="CitadestacadaCar"/>
    <w:uiPriority w:val="30"/>
    <w:qFormat/>
    <w:rsid w:val="00C06C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06CF5"/>
    <w:rPr>
      <w:i/>
      <w:iCs/>
      <w:color w:val="0F4761" w:themeColor="accent1" w:themeShade="BF"/>
    </w:rPr>
  </w:style>
  <w:style w:type="character" w:styleId="Referenciaintensa">
    <w:name w:val="Intense Reference"/>
    <w:basedOn w:val="Fuentedeprrafopredeter"/>
    <w:uiPriority w:val="32"/>
    <w:qFormat/>
    <w:rsid w:val="00C06CF5"/>
    <w:rPr>
      <w:b/>
      <w:bCs/>
      <w:smallCaps/>
      <w:color w:val="0F4761" w:themeColor="accent1" w:themeShade="BF"/>
      <w:spacing w:val="5"/>
    </w:rPr>
  </w:style>
  <w:style w:type="paragraph" w:styleId="Encabezado">
    <w:name w:val="header"/>
    <w:basedOn w:val="Normal"/>
    <w:link w:val="EncabezadoCar"/>
    <w:uiPriority w:val="99"/>
    <w:unhideWhenUsed/>
    <w:rsid w:val="00D5587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5587E"/>
  </w:style>
  <w:style w:type="paragraph" w:styleId="Piedepgina">
    <w:name w:val="footer"/>
    <w:basedOn w:val="Normal"/>
    <w:link w:val="PiedepginaCar"/>
    <w:uiPriority w:val="99"/>
    <w:unhideWhenUsed/>
    <w:rsid w:val="00D5587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5587E"/>
  </w:style>
  <w:style w:type="table" w:styleId="Tablaconcuadrcula">
    <w:name w:val="Table Grid"/>
    <w:basedOn w:val="Tablanormal"/>
    <w:uiPriority w:val="39"/>
    <w:rsid w:val="004D21A3"/>
    <w:pPr>
      <w:spacing w:after="0" w:line="240" w:lineRule="auto"/>
    </w:pPr>
    <w:rPr>
      <w:sz w:val="22"/>
      <w:szCs w:val="22"/>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comentario">
    <w:name w:val="annotation text"/>
    <w:basedOn w:val="Normal"/>
    <w:link w:val="TextocomentarioCar"/>
    <w:uiPriority w:val="99"/>
    <w:unhideWhenUsed/>
    <w:rsid w:val="004D21A3"/>
    <w:pPr>
      <w:spacing w:line="240" w:lineRule="auto"/>
    </w:pPr>
    <w:rPr>
      <w:sz w:val="20"/>
      <w:szCs w:val="20"/>
    </w:rPr>
  </w:style>
  <w:style w:type="character" w:customStyle="1" w:styleId="TextocomentarioCar">
    <w:name w:val="Texto comentario Car"/>
    <w:basedOn w:val="Fuentedeprrafopredeter"/>
    <w:link w:val="Textocomentario"/>
    <w:uiPriority w:val="99"/>
    <w:rsid w:val="004D21A3"/>
    <w:rPr>
      <w:sz w:val="20"/>
      <w:szCs w:val="20"/>
      <w:lang w:val="es-CO"/>
    </w:rPr>
  </w:style>
  <w:style w:type="character" w:styleId="Refdecomentario">
    <w:name w:val="annotation reference"/>
    <w:basedOn w:val="Fuentedeprrafopredeter"/>
    <w:uiPriority w:val="99"/>
    <w:semiHidden/>
    <w:unhideWhenUsed/>
    <w:rsid w:val="004D21A3"/>
    <w:rPr>
      <w:sz w:val="16"/>
      <w:szCs w:val="16"/>
    </w:rPr>
  </w:style>
  <w:style w:type="paragraph" w:styleId="Asuntodelcomentario">
    <w:name w:val="annotation subject"/>
    <w:basedOn w:val="Textocomentario"/>
    <w:next w:val="Textocomentario"/>
    <w:link w:val="AsuntodelcomentarioCar"/>
    <w:uiPriority w:val="99"/>
    <w:semiHidden/>
    <w:unhideWhenUsed/>
    <w:rsid w:val="00D206AB"/>
    <w:rPr>
      <w:b/>
      <w:bCs/>
    </w:rPr>
  </w:style>
  <w:style w:type="character" w:customStyle="1" w:styleId="AsuntodelcomentarioCar">
    <w:name w:val="Asunto del comentario Car"/>
    <w:basedOn w:val="TextocomentarioCar"/>
    <w:link w:val="Asuntodelcomentario"/>
    <w:uiPriority w:val="99"/>
    <w:semiHidden/>
    <w:rsid w:val="00D206AB"/>
    <w:rPr>
      <w:b/>
      <w:bCs/>
      <w:sz w:val="20"/>
      <w:szCs w:val="20"/>
      <w:lang w:val="es-CO"/>
    </w:rPr>
  </w:style>
  <w:style w:type="paragraph" w:styleId="Revisin">
    <w:name w:val="Revision"/>
    <w:hidden/>
    <w:uiPriority w:val="99"/>
    <w:semiHidden/>
    <w:rsid w:val="000A3681"/>
    <w:pPr>
      <w:spacing w:after="0" w:line="240" w:lineRule="auto"/>
    </w:pPr>
    <w:rPr>
      <w:sz w:val="22"/>
      <w:szCs w:val="22"/>
      <w:lang w:val="es-CO"/>
    </w:rPr>
  </w:style>
  <w:style w:type="character" w:styleId="Hipervnculo">
    <w:name w:val="Hyperlink"/>
    <w:basedOn w:val="Fuentedeprrafopredeter"/>
    <w:uiPriority w:val="99"/>
    <w:unhideWhenUsed/>
    <w:rsid w:val="007D308C"/>
    <w:rPr>
      <w:color w:val="467886" w:themeColor="hyperlink"/>
      <w:u w:val="single"/>
    </w:rPr>
  </w:style>
  <w:style w:type="character" w:styleId="Mencinsinresolver">
    <w:name w:val="Unresolved Mention"/>
    <w:basedOn w:val="Fuentedeprrafopredeter"/>
    <w:uiPriority w:val="99"/>
    <w:semiHidden/>
    <w:unhideWhenUsed/>
    <w:rsid w:val="007D30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B3CE799D4DA3C04CB9BCB8CD1DF94704" ma:contentTypeVersion="11" ma:contentTypeDescription="Crear nuevo documento." ma:contentTypeScope="" ma:versionID="ecfb1310a4d675760852de24a01af554">
  <xsd:schema xmlns:xsd="http://www.w3.org/2001/XMLSchema" xmlns:xs="http://www.w3.org/2001/XMLSchema" xmlns:p="http://schemas.microsoft.com/office/2006/metadata/properties" xmlns:ns2="0d03cd94-47b9-4e94-9f80-c0f7fd5f8964" xmlns:ns3="ba0cf52e-aa60-4300-878b-ad5cd672df3d" targetNamespace="http://schemas.microsoft.com/office/2006/metadata/properties" ma:root="true" ma:fieldsID="5019fa12d5c22ff2994e0b698aaa4f9d" ns2:_="" ns3:_="">
    <xsd:import namespace="0d03cd94-47b9-4e94-9f80-c0f7fd5f8964"/>
    <xsd:import namespace="ba0cf52e-aa60-4300-878b-ad5cd672df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03cd94-47b9-4e94-9f80-c0f7fd5f89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6956917-4396-4280-92a8-38b8e33690a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0cf52e-aa60-4300-878b-ad5cd672df3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ca93fa9-bf8e-4db1-b1bb-a51ac4fffe69}" ma:internalName="TaxCatchAll" ma:showField="CatchAllData" ma:web="ba0cf52e-aa60-4300-878b-ad5cd672df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03cd94-47b9-4e94-9f80-c0f7fd5f8964">
      <Terms xmlns="http://schemas.microsoft.com/office/infopath/2007/PartnerControls"/>
    </lcf76f155ced4ddcb4097134ff3c332f>
    <TaxCatchAll xmlns="ba0cf52e-aa60-4300-878b-ad5cd672df3d" xsi:nil="true"/>
  </documentManagement>
</p:properties>
</file>

<file path=customXml/itemProps1.xml><?xml version="1.0" encoding="utf-8"?>
<ds:datastoreItem xmlns:ds="http://schemas.openxmlformats.org/officeDocument/2006/customXml" ds:itemID="{DA96ACE6-6E8E-4847-9146-BBF96CE23BA7}">
  <ds:schemaRefs>
    <ds:schemaRef ds:uri="http://schemas.microsoft.com/sharepoint/v3/contenttype/forms"/>
  </ds:schemaRefs>
</ds:datastoreItem>
</file>

<file path=customXml/itemProps2.xml><?xml version="1.0" encoding="utf-8"?>
<ds:datastoreItem xmlns:ds="http://schemas.openxmlformats.org/officeDocument/2006/customXml" ds:itemID="{400D91D9-0D99-47D4-B843-00CC48871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03cd94-47b9-4e94-9f80-c0f7fd5f8964"/>
    <ds:schemaRef ds:uri="ba0cf52e-aa60-4300-878b-ad5cd672df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0CB33D-DC6D-45D9-805A-B5C90B081DDF}">
  <ds:schemaRefs>
    <ds:schemaRef ds:uri="http://schemas.microsoft.com/office/2006/metadata/properties"/>
    <ds:schemaRef ds:uri="http://schemas.microsoft.com/office/infopath/2007/PartnerControls"/>
    <ds:schemaRef ds:uri="0d03cd94-47b9-4e94-9f80-c0f7fd5f8964"/>
    <ds:schemaRef ds:uri="ba0cf52e-aa60-4300-878b-ad5cd672df3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3638</Words>
  <Characters>21905</Characters>
  <Application>Microsoft Office Word</Application>
  <DocSecurity>0</DocSecurity>
  <Lines>421</Lines>
  <Paragraphs>260</Paragraphs>
  <ScaleCrop>false</ScaleCrop>
  <Company/>
  <LinksUpToDate>false</LinksUpToDate>
  <CharactersWithSpaces>25283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Monterroza</dc:creator>
  <cp:keywords/>
  <dc:description/>
  <cp:lastModifiedBy>Jose Monterroza</cp:lastModifiedBy>
  <cp:revision>160</cp:revision>
  <cp:lastPrinted>2025-11-13T00:56:00Z</cp:lastPrinted>
  <dcterms:created xsi:type="dcterms:W3CDTF">2025-11-07T16:29:00Z</dcterms:created>
  <dcterms:modified xsi:type="dcterms:W3CDTF">2025-12-19T17:05:00Z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0x010100B3CE799D4DA3C04CB9BCB8CD1DF94704</vt:lpwstr>
  </property>
  <property fmtid="{D5CDD505-2E9C-101B-9397-08002B2CF9AE}" pid="3" name="MediaServiceImageTags">
    <vt:lpwstr/>
  </property>
</Properties>
</file>